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669"/>
        <w:jc w:val="center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ПРИЛОЖЕНИЕ № 2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69"/>
        <w:jc w:val="center"/>
        <w:tabs>
          <w:tab w:val="left" w:pos="1134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к письму контрольного управления Новосибирской области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ind w:left="5669"/>
        <w:jc w:val="center"/>
        <w:tabs>
          <w:tab w:val="left" w:pos="1134" w:leader="none"/>
        </w:tabs>
        <w:rPr>
          <w:b/>
          <w:bCs/>
        </w:rPr>
      </w:pPr>
      <w:r>
        <w:rPr>
          <w:sz w:val="24"/>
          <w:szCs w:val="24"/>
        </w:rPr>
        <w:t xml:space="preserve">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left" w:pos="1134" w:leader="none"/>
        </w:tabs>
        <w:rPr>
          <w:b/>
          <w:bCs/>
        </w:rPr>
      </w:pPr>
      <w:r>
        <w:rPr>
          <w:b/>
          <w:bCs/>
        </w:rPr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left" w:pos="1134" w:leader="none"/>
        </w:tabs>
        <w:rPr>
          <w:b/>
          <w:bCs/>
        </w:rPr>
      </w:pPr>
      <w:r>
        <w:rPr>
          <w:b/>
          <w:bCs/>
        </w:rPr>
        <w:t xml:space="preserve">Расчеты поступлений по кодам классификации доходов, закрепленных за контрольным управлением Новосибирской области, </w:t>
      </w:r>
      <w:r>
        <w:rPr>
          <w:b/>
          <w:bCs/>
        </w:rPr>
      </w:r>
      <w:r>
        <w:rPr>
          <w:b/>
          <w:bCs/>
        </w:rPr>
      </w:r>
    </w:p>
    <w:p>
      <w:pPr>
        <w:jc w:val="center"/>
        <w:tabs>
          <w:tab w:val="left" w:pos="1134" w:leader="none"/>
        </w:tabs>
      </w:pPr>
      <w:r>
        <w:rPr>
          <w:b/>
          <w:bCs/>
        </w:rPr>
        <w:t xml:space="preserve">и пояснения к расчетам</w:t>
      </w:r>
      <w:r/>
    </w:p>
    <w:p>
      <w:pPr>
        <w:jc w:val="both"/>
        <w:tabs>
          <w:tab w:val="left" w:pos="1134" w:leader="none"/>
        </w:tabs>
      </w:pPr>
      <w:r/>
      <w:r/>
    </w:p>
    <w:p>
      <w:pPr>
        <w:pStyle w:val="867"/>
        <w:numPr>
          <w:ilvl w:val="0"/>
          <w:numId w:val="1"/>
        </w:numPr>
        <w:contextualSpacing/>
        <w:ind w:left="0" w:firstLine="709"/>
        <w:jc w:val="both"/>
        <w:tabs>
          <w:tab w:val="left" w:pos="851" w:leader="none"/>
          <w:tab w:val="left" w:pos="993" w:leader="none"/>
        </w:tabs>
      </w:pPr>
      <w:r>
        <w:rPr>
          <w:b/>
        </w:rPr>
        <w:t xml:space="preserve">197 1 13 01992 02 0000 130</w:t>
      </w:r>
      <w:r>
        <w:t xml:space="preserve"> «Прочие доходы от оказания платных услуг (работ) получателями средств бюджетов субъектов Российской Федерации» для расчета прогнозных показателей поступлений применяется метод прямого счета.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Сумма доходов подведомственного учреждения от оказания платных услуг, прогнозируемая к поступлению в расчетном году, рассчитывается по формуле:</w:t>
      </w:r>
      <w:r/>
    </w:p>
    <w:p>
      <w:pPr>
        <w:pStyle w:val="867"/>
        <w:ind w:left="0" w:firstLine="709"/>
        <w:rPr>
          <w:szCs w:val="20"/>
        </w:rPr>
      </w:pPr>
      <w:r>
        <w:rPr>
          <w:szCs w:val="20"/>
        </w:rPr>
        <w:t xml:space="preserve">Прогноз поступлений доходов рассчитывается по формуле:</w:t>
      </w:r>
      <w:r>
        <w:rPr>
          <w:szCs w:val="20"/>
        </w:rPr>
      </w:r>
      <w:r>
        <w:rPr>
          <w:szCs w:val="20"/>
        </w:rPr>
      </w:r>
    </w:p>
    <w:p>
      <w:pPr>
        <w:pStyle w:val="867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PR=∑</w:t>
      </w:r>
      <w:r>
        <w:rPr>
          <w:sz w:val="24"/>
          <w:szCs w:val="24"/>
          <w:vertAlign w:val="subscript"/>
        </w:rPr>
        <w:t xml:space="preserve">ni</w:t>
      </w:r>
      <w:r>
        <w:rPr>
          <w:sz w:val="24"/>
          <w:szCs w:val="24"/>
          <w:vertAlign w:val="subscript"/>
        </w:rPr>
        <w:t xml:space="preserve">=1</w:t>
      </w:r>
      <w:r>
        <w:rPr>
          <w:sz w:val="24"/>
          <w:szCs w:val="24"/>
        </w:rPr>
        <w:t xml:space="preserve">D±Z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ind w:left="0" w:firstLine="709"/>
        <w:rPr>
          <w:szCs w:val="20"/>
        </w:rPr>
      </w:pPr>
      <w:r>
        <w:rPr>
          <w:szCs w:val="20"/>
        </w:rPr>
        <w:t xml:space="preserve">Планируемая стоимость платных услуг рассчитывается по формуле:</w:t>
      </w:r>
      <w:r>
        <w:rPr>
          <w:szCs w:val="20"/>
        </w:rPr>
      </w:r>
      <w:r>
        <w:rPr>
          <w:szCs w:val="20"/>
        </w:rPr>
      </w:r>
    </w:p>
    <w:p>
      <w:pPr>
        <w:pStyle w:val="867"/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D=K*R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867"/>
        <w:ind w:left="0" w:firstLine="709"/>
        <w:jc w:val="both"/>
        <w:rPr>
          <w:szCs w:val="20"/>
        </w:rPr>
      </w:pPr>
      <w:r>
        <w:rPr>
          <w:szCs w:val="20"/>
        </w:rPr>
        <w:t xml:space="preserve">Определение прогнозного количества планируемых плат</w:t>
      </w:r>
      <w:r>
        <w:rPr>
          <w:szCs w:val="20"/>
        </w:rPr>
        <w:t xml:space="preserve">ных услуг каждого вида основывается на данных первичных учетных документов и среднегодовом количестве платных услуг, предоставленных в предыдущие периоды, но не менее чем за 3 года или за весь период оказания услуги в случае, если он не превышает три года.</w:t>
      </w:r>
      <w:r>
        <w:rPr>
          <w:szCs w:val="20"/>
        </w:rPr>
      </w:r>
      <w:r>
        <w:rPr>
          <w:szCs w:val="20"/>
        </w:rPr>
      </w:r>
    </w:p>
    <w:p>
      <w:pPr>
        <w:pStyle w:val="867"/>
        <w:ind w:left="0" w:firstLine="709"/>
        <w:jc w:val="both"/>
      </w:pPr>
      <w:r>
        <w:rPr>
          <w:szCs w:val="20"/>
        </w:rPr>
        <w:t xml:space="preserve">При </w:t>
      </w:r>
      <w:r>
        <w:t xml:space="preserve">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</w:r>
      <w:r/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Описание показателей, используемых для расчетов: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PR - прогнозируемые поступления по доходному источнику,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D - планируемая стоимость платных услуг,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n - количество планируемых видов платных услуг, установленных Уставом ГКУ «</w:t>
      </w:r>
      <w:r>
        <w:rPr>
          <w:rFonts w:eastAsia="Arial"/>
          <w:highlight w:val="white"/>
        </w:rPr>
        <w:t xml:space="preserve">УКСис</w:t>
      </w:r>
      <w:r>
        <w:rPr>
          <w:rFonts w:eastAsia="Arial"/>
          <w:highlight w:val="white"/>
        </w:rPr>
        <w:t xml:space="preserve">»;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Calibri" w:cs="Times New Roman"/>
          <w:sz w:val="28"/>
          <w:szCs w:val="28"/>
          <w:highlight w:val="white"/>
          <w:lang w:eastAsia="en-US"/>
        </w:rPr>
        <w:t xml:space="preserve">Z - </w:t>
      </w:r>
      <w:r>
        <w:rPr>
          <w:rFonts w:ascii="Times New Roman" w:hAnsi="Times New Roman" w:eastAsia="Calibri" w:cs="Times New Roman"/>
          <w:sz w:val="28"/>
          <w:szCs w:val="28"/>
          <w:highlight w:val="white"/>
          <w:shd w:val="clear" w:color="auto" w:fill="ffffff"/>
          <w:lang w:eastAsia="en-US"/>
        </w:rPr>
        <w:t xml:space="preserve">(по согласованию с МФ и НП НСО)</w:t>
      </w:r>
      <w:r>
        <w:rPr>
          <w:rFonts w:ascii="Times New Roman" w:hAnsi="Times New Roman" w:eastAsia="Calibri" w:cs="Times New Roman"/>
          <w:sz w:val="28"/>
          <w:szCs w:val="28"/>
          <w:highlight w:val="white"/>
          <w:lang w:eastAsia="en-US"/>
        </w:rPr>
        <w:t xml:space="preserve"> - корректирующая сумма поступлений (увеличение или уменьшение прогноза поступления доходов)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включающая: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рублей.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K - планируемое количество каждого вида оказываемых платных услуг;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pStyle w:val="867"/>
        <w:ind w:left="0" w:firstLine="709"/>
        <w:jc w:val="both"/>
        <w:rPr>
          <w:rFonts w:eastAsia="Calibri"/>
          <w:lang w:eastAsia="en-US"/>
        </w:rPr>
      </w:pPr>
      <w:r>
        <w:rPr>
          <w:rFonts w:eastAsia="Calibri"/>
          <w:highlight w:val="white"/>
          <w:lang w:eastAsia="en-US"/>
        </w:rPr>
        <w:t xml:space="preserve">R - стоимость каждого вида оказываемых платных услуг, установленная приказом контрольного управления Новосибирской области от 14.03.2023 № 63-НПА «Об установлении Порядка определения платы и ра</w:t>
      </w:r>
      <w:r>
        <w:rPr>
          <w:rFonts w:eastAsia="Calibri"/>
          <w:highlight w:val="white"/>
          <w:lang w:eastAsia="en-US"/>
        </w:rPr>
        <w:t xml:space="preserve">змера платы за оказанные услуги при осуществлении государственным казенным учреждением Новосибирской области «Управлении контрактной системы», находящимся в ведении контрольного управления Новосибирской области, приносящей доходы деятельности», тыс. рублей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300 000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300 000 рублей, 2027 год – 300 000 рублей, 2028 год – 300 000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 </w:t>
      </w:r>
      <w:r>
        <w:rPr>
          <w:rFonts w:eastAsia="Calibri"/>
          <w:i/>
          <w:lang w:eastAsia="en-US"/>
        </w:rPr>
      </w:r>
      <w:r>
        <w:rPr>
          <w:rFonts w:eastAsia="Calibri"/>
          <w:i/>
          <w:lang w:eastAsia="en-US"/>
        </w:rPr>
      </w:r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Поступление доходов приходится на поступления от оказываемых ГКУ НСО «</w:t>
      </w:r>
      <w:r>
        <w:rPr>
          <w:rFonts w:eastAsia="Calibri"/>
          <w:lang w:eastAsia="en-US"/>
        </w:rPr>
        <w:t xml:space="preserve">УКСис</w:t>
      </w:r>
      <w:r>
        <w:rPr>
          <w:rFonts w:eastAsia="Calibri"/>
          <w:lang w:eastAsia="en-US"/>
        </w:rPr>
        <w:t xml:space="preserve">» платных услуг, а именно: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eastAsia="Calibri"/>
        </w:rPr>
      </w:pPr>
      <w:r>
        <w:rPr>
          <w:rFonts w:eastAsia="Calibri"/>
          <w:lang w:eastAsia="en-US"/>
        </w:rPr>
        <w:t xml:space="preserve">выполнение функций специализированной организации по определению поставщиков (подрядчиков, исполнителей) товаров, работ, услуг для юридических лиц любой организационной правовой формы.  </w:t>
      </w:r>
      <w:r>
        <w:rPr>
          <w:rFonts w:eastAsia="Calibri"/>
        </w:rPr>
      </w:r>
      <w:r>
        <w:rPr>
          <w:rFonts w:eastAsia="Calibri"/>
        </w:rPr>
      </w:r>
    </w:p>
    <w:p>
      <w:pPr>
        <w:numPr>
          <w:ilvl w:val="0"/>
          <w:numId w:val="2"/>
        </w:numPr>
        <w:ind w:left="0" w:firstLine="709"/>
        <w:jc w:val="both"/>
        <w:tabs>
          <w:tab w:val="left" w:pos="993" w:leader="none"/>
        </w:tabs>
        <w:rPr>
          <w:rFonts w:eastAsia="Calibri"/>
        </w:rPr>
      </w:pPr>
      <w:r>
        <w:rPr>
          <w:rFonts w:eastAsia="Calibri"/>
          <w:lang w:eastAsia="en-US"/>
        </w:rPr>
        <w:t xml:space="preserve">осуществление образовательной деятельности по реализации программ дополнительного профессионального образования, по проведению курсов повышению квалификации, семинаров. 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tabs>
          <w:tab w:val="left" w:pos="993" w:leader="none"/>
        </w:tabs>
        <w:rPr>
          <w:rFonts w:eastAsia="Calibri"/>
        </w:rPr>
      </w:pPr>
      <w:r>
        <w:rPr>
          <w:rFonts w:eastAsia="Calibri"/>
          <w:lang w:eastAsia="en-US"/>
        </w:rPr>
        <w:t xml:space="preserve">Сумма поступлений на 2025 год рассчитана исходя из 5 планируемых к проведению однодневных семинаров с участием в каждом 10 человек и установленной стоимости платных услуг (5 * 10 </w:t>
      </w:r>
      <w:r>
        <w:rPr>
          <w:rFonts w:eastAsia="Calibri"/>
          <w:lang w:eastAsia="en-US"/>
        </w:rPr>
        <w:t xml:space="preserve">чел</w:t>
      </w:r>
      <w:r>
        <w:rPr>
          <w:rFonts w:eastAsia="Calibri"/>
          <w:lang w:eastAsia="en-US"/>
        </w:rPr>
        <w:t xml:space="preserve"> * 6000 </w:t>
      </w:r>
      <w:r>
        <w:rPr>
          <w:rFonts w:eastAsia="Calibri"/>
          <w:lang w:eastAsia="en-US"/>
        </w:rPr>
        <w:t xml:space="preserve">руб</w:t>
      </w:r>
      <w:r>
        <w:rPr>
          <w:rFonts w:eastAsia="Calibri"/>
          <w:lang w:eastAsia="en-US"/>
        </w:rPr>
        <w:t xml:space="preserve">/чел) = 300 000 рублей. 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tabs>
          <w:tab w:val="left" w:pos="993" w:leader="none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Доходы от оказания услуг специализированной организации по определению поставщиков (подрядчиков, исполнителей) товаров, работ, услуг для юридических лиц в 2026 году и плановом периоде 2027 - 2028 годов не планируются ввиду </w:t>
      </w:r>
      <w:r>
        <w:rPr>
          <w:rFonts w:eastAsia="Calibri"/>
          <w:lang w:eastAsia="en-US"/>
        </w:rPr>
        <w:t xml:space="preserve">невостребованности</w:t>
      </w:r>
      <w:r>
        <w:rPr>
          <w:rFonts w:eastAsia="Calibri"/>
          <w:lang w:eastAsia="en-US"/>
        </w:rPr>
        <w:t xml:space="preserve"> данных услуг в последние годы.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tabs>
          <w:tab w:val="left" w:pos="993" w:leader="none"/>
        </w:tabs>
        <w:rPr>
          <w:rFonts w:eastAsia="Calibri"/>
        </w:rPr>
      </w:pPr>
      <w:r>
        <w:rPr>
          <w:rFonts w:eastAsia="Calibri"/>
        </w:rPr>
      </w:r>
      <w:r>
        <w:rPr>
          <w:rFonts w:eastAsia="Calibri"/>
        </w:rPr>
      </w:r>
      <w:r>
        <w:rPr>
          <w:rFonts w:eastAsia="Calibri"/>
        </w:rPr>
      </w:r>
    </w:p>
    <w:p>
      <w:pPr>
        <w:pStyle w:val="867"/>
        <w:numPr>
          <w:ilvl w:val="0"/>
          <w:numId w:val="1"/>
        </w:numPr>
        <w:contextualSpacing/>
        <w:ind w:left="0" w:firstLine="709"/>
        <w:jc w:val="both"/>
        <w:tabs>
          <w:tab w:val="left" w:pos="993" w:leader="none"/>
        </w:tabs>
      </w:pPr>
      <w:r>
        <w:rPr>
          <w:b/>
        </w:rPr>
        <w:t xml:space="preserve">197 1 13 02992 02 0000 130</w:t>
      </w:r>
      <w:r>
        <w:t xml:space="preserve"> «Прочие доходы от компенсации затрат бюджетов субъектов Российской Федерации» для расчета прогнозных показателей поступлений применяется метод усреднение.</w:t>
      </w:r>
      <w:r/>
    </w:p>
    <w:p>
      <w:pPr>
        <w:pStyle w:val="867"/>
        <w:ind w:left="0" w:firstLine="709"/>
        <w:jc w:val="both"/>
        <w:tabs>
          <w:tab w:val="left" w:pos="993" w:leader="none"/>
        </w:tabs>
      </w:pPr>
      <w:r>
        <w:t xml:space="preserve">Сумма прочих доходов от компенсации затрат контрольного управления Новосибирской области и подведомственного учреждения, прогнозируемая к поступлению в расчетном году, рассчитывается по формуле:</w:t>
      </w:r>
      <w:r/>
    </w:p>
    <w:p>
      <w:pPr>
        <w:pStyle w:val="868"/>
        <w:jc w:val="center"/>
        <w:shd w:val="clear" w:color="ffffff" w:fill="ffffff"/>
        <w:rPr>
          <w:rFonts w:ascii="Times New Roman" w:hAnsi="Times New Roman" w:cs="Times New Roman"/>
          <w:position w:val="-11"/>
          <w:sz w:val="28"/>
          <w:szCs w:val="28"/>
          <w:highlight w:val="white"/>
        </w:rPr>
      </w:pPr>
      <w:r>
        <w:rPr>
          <w:rFonts w:ascii="Times New Roman" w:hAnsi="Times New Roman" w:cs="Times New Roman"/>
          <w:position w:val="-11"/>
          <w:sz w:val="28"/>
          <w:szCs w:val="28"/>
          <w:highlight w:val="white"/>
          <w:lang w:val="en-US"/>
        </w:rPr>
        <w:t xml:space="preserve">PR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</w:rPr>
        <w:t xml:space="preserve">=∑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  <w:lang w:val="en-US"/>
        </w:rPr>
        <w:t xml:space="preserve">n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  <w:vertAlign w:val="subscript"/>
        </w:rPr>
        <w:t xml:space="preserve">=1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  <w:lang w:val="en-US"/>
        </w:rPr>
        <w:t xml:space="preserve">F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</w:rPr>
        <w:t xml:space="preserve">/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  <w:lang w:val="en-US"/>
        </w:rPr>
        <w:t xml:space="preserve">n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</w:rPr>
        <w:t xml:space="preserve">±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  <w:lang w:val="en-US"/>
        </w:rPr>
        <w:t xml:space="preserve">Z</w:t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</w:rPr>
      </w:r>
      <w:r>
        <w:rPr>
          <w:rFonts w:ascii="Times New Roman" w:hAnsi="Times New Roman" w:cs="Times New Roman"/>
          <w:position w:val="-11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расче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 прогнозируемых поступлений учитывается среднее арифметическое значение годовых объемов доходов от компенсации затрат областного бюджета не менее чем за три года или за весь период поступления данного вида доходов в случае, если он не превышает три года.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>
        <w:rPr>
          <w:highlight w:val="white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</w:t>
      </w:r>
      <w:r>
        <w:rPr>
          <w:highlight w:val="white"/>
        </w:rPr>
        <w:t xml:space="preserve">поступления доходов за истекший период текущего года, а также оценки поступлений доходов до конца года.</w:t>
      </w:r>
      <w:r/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Описание показателей, используемых для расчетов: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PR - прогнозируемые поступления по доходному источнику,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F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фактически поступившие в i-м году доходы,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n - фактическое число лет в выбранном периоде усреднения;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Z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(по согласованию с МФ и НП НСО)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корректирующая сумма поступлений (увеличение или уменьшение прогноза поступления доходов), включающая: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7"/>
        <w:ind w:left="0" w:firstLine="709"/>
        <w:tabs>
          <w:tab w:val="left" w:pos="993" w:leader="none"/>
        </w:tabs>
      </w:pPr>
      <w:r>
        <w:rPr>
          <w:highlight w:val="white"/>
        </w:rP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руб.</w:t>
      </w:r>
      <w:r/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</w:t>
      </w:r>
      <w:r>
        <w:rPr>
          <w:rFonts w:eastAsia="Calibri"/>
          <w:lang w:eastAsia="en-US"/>
        </w:rPr>
        <w:t xml:space="preserve">126 200</w:t>
      </w:r>
      <w:r>
        <w:rPr>
          <w:rFonts w:eastAsia="Calibri"/>
          <w:lang w:eastAsia="en-US"/>
        </w:rPr>
        <w:t xml:space="preserve"> тыс.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131 200 рублей, 2027 год – 131 200 рублей, 2028 год – 131 200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 </w:t>
      </w:r>
      <w:r>
        <w:rPr>
          <w:rFonts w:eastAsia="Calibri"/>
          <w:i/>
          <w:lang w:eastAsia="en-US"/>
        </w:rPr>
      </w:r>
      <w:r>
        <w:rPr>
          <w:rFonts w:eastAsia="Calibri"/>
          <w:i/>
          <w:lang w:eastAsia="en-US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Поступления по данному коду доходов сложно прогнозируются, ввиду того, что наибольший удельный вес поступлений имеет поступление дебиторской задолженности прошлых лет</w:t>
      </w:r>
      <w:r>
        <w:t xml:space="preserve"> </w:t>
      </w:r>
      <w:r>
        <w:rPr>
          <w:rFonts w:eastAsia="Calibri"/>
          <w:lang w:eastAsia="en-US"/>
        </w:rPr>
        <w:t xml:space="preserve">за счет возврата неиспользованного аванса за услуги связи. Сумма ожидаемого поступления в 2025 году учитывает возврат неиспользованного аванса за услуги связи АО «Почта России», оказанные в прошлых годах.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Прогноз поступления доходов на 2026 год и на плановый период 2027 и 2028 годов рассчитан исходя из </w:t>
      </w:r>
      <w:r>
        <w:t xml:space="preserve">с</w:t>
      </w:r>
      <w:r>
        <w:rPr>
          <w:highlight w:val="white"/>
        </w:rPr>
        <w:t xml:space="preserve">реднего арифметического значения годовых объемов доходов от компенсации затрат областного бюджета за три года</w:t>
      </w:r>
      <w:r>
        <w:t xml:space="preserve">, предшествующих году, в котором осуществляется планирование</w:t>
      </w:r>
      <w:r>
        <w:rPr>
          <w:rFonts w:eastAsia="Calibri"/>
          <w:lang w:eastAsia="en-US"/>
        </w:rPr>
        <w:t xml:space="preserve"> (</w:t>
      </w:r>
      <w:r>
        <w:t xml:space="preserve">фактическое поступление доходов за 2023 - 2024 годы и ожидаемое поступление в 2025 году</w:t>
      </w:r>
      <w:r>
        <w:rPr>
          <w:rFonts w:eastAsia="Calibri"/>
          <w:lang w:eastAsia="en-US"/>
        </w:rPr>
        <w:t xml:space="preserve">):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(</w:t>
      </w:r>
      <w:r>
        <w:rPr>
          <w:rFonts w:ascii="Times New Roman" w:hAnsi="Times New Roman" w:eastAsia="Times New Roman" w:cs="Times New Roman"/>
          <w:sz w:val="28"/>
          <w:szCs w:val="28"/>
          <w:lang w:eastAsia="en-US"/>
        </w:rPr>
        <w:t xml:space="preserve">107 582 +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159 967 + 126 200)</w:t>
      </w:r>
      <w:r>
        <w:rPr>
          <w:rFonts w:eastAsia="Calibri"/>
          <w:sz w:val="28"/>
          <w:szCs w:val="28"/>
          <w:lang w:eastAsia="en-US"/>
        </w:rPr>
        <w:t xml:space="preserve">/3=131 200 рублей</w:t>
      </w:r>
      <w:r>
        <w:rPr>
          <w:rFonts w:eastAsia="Calibri"/>
          <w:sz w:val="28"/>
          <w:szCs w:val="28"/>
        </w:rPr>
      </w:r>
      <w:r>
        <w:rPr>
          <w:rFonts w:eastAsia="Calibri"/>
          <w:sz w:val="28"/>
          <w:szCs w:val="28"/>
        </w:rPr>
      </w:r>
    </w:p>
    <w:p>
      <w:pPr>
        <w:ind w:firstLine="709"/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  <w:r>
        <w:rPr>
          <w:rFonts w:eastAsia="Calibri"/>
          <w:sz w:val="24"/>
          <w:szCs w:val="24"/>
          <w:lang w:eastAsia="en-US"/>
        </w:rPr>
      </w:r>
    </w:p>
    <w:p>
      <w:pPr>
        <w:pStyle w:val="867"/>
        <w:numPr>
          <w:ilvl w:val="0"/>
          <w:numId w:val="1"/>
        </w:numPr>
        <w:contextualSpacing/>
        <w:ind w:left="0" w:firstLine="709"/>
        <w:jc w:val="both"/>
        <w:tabs>
          <w:tab w:val="left" w:pos="993" w:leader="none"/>
        </w:tabs>
        <w:rPr>
          <w:strike/>
        </w:rPr>
      </w:pPr>
      <w:r>
        <w:rPr>
          <w:b/>
        </w:rPr>
        <w:t xml:space="preserve">197 1 16 01072 01 0000 140 </w:t>
      </w:r>
      <w:r>
        <w:t xml:space="preserve">«Административные штрафы, установленные главой 7 Кодекса Росси</w:t>
      </w:r>
      <w:r>
        <w:t xml:space="preserve">йской Федерации об административных правонарушениях, за административные правонарушения в области охраны собственности,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>
        <w:t xml:space="preserve">»,  прогнозируемые</w:t>
      </w:r>
      <w:r>
        <w:t xml:space="preserve"> к поступлению в расчетном году, рассчитываются по формуле:</w:t>
      </w:r>
      <w:r>
        <w:rPr>
          <w:strike/>
        </w:rPr>
      </w:r>
      <w:r>
        <w:rPr>
          <w:strike/>
        </w:rPr>
      </w:r>
    </w:p>
    <w:p>
      <w:pPr>
        <w:jc w:val="center"/>
        <w:shd w:val="clear" w:color="ffffff" w:fill="ffffff"/>
        <w:widowControl w:val="off"/>
        <w:rPr>
          <w:rFonts w:eastAsia="Arial"/>
          <w:position w:val="-11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PR</w:t>
      </w:r>
      <w:r>
        <w:rPr>
          <w:rFonts w:eastAsia="Arial"/>
          <w:position w:val="-11"/>
          <w:sz w:val="24"/>
          <w:szCs w:val="24"/>
          <w:highlight w:val="white"/>
        </w:rPr>
        <w:t xml:space="preserve">=</w:t>
      </w:r>
      <w:r>
        <w:rPr>
          <w:rFonts w:eastAsia="Cambria Math"/>
          <w:position w:val="-11"/>
          <w:sz w:val="24"/>
          <w:szCs w:val="24"/>
          <w:highlight w:val="white"/>
          <w:lang w:val="en-US"/>
        </w:rPr>
        <w:t xml:space="preserve">Σ</w:t>
      </w:r>
      <w:r>
        <w:rPr>
          <w:rFonts w:eastAsia="Arial"/>
          <w:position w:val="-11"/>
          <w:sz w:val="24"/>
          <w:szCs w:val="24"/>
          <w:highlight w:val="white"/>
        </w:rPr>
        <w:t xml:space="preserve">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k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=1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Si</w:t>
      </w:r>
      <w:r>
        <w:rPr>
          <w:rFonts w:eastAsia="Arial"/>
          <w:position w:val="-11"/>
          <w:sz w:val="24"/>
          <w:szCs w:val="24"/>
          <w:highlight w:val="white"/>
        </w:rPr>
        <w:t xml:space="preserve">±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Z</w:t>
      </w:r>
      <w:r>
        <w:rPr>
          <w:rFonts w:eastAsia="Arial"/>
          <w:position w:val="-11"/>
          <w:sz w:val="24"/>
          <w:szCs w:val="24"/>
          <w:highlight w:val="white"/>
        </w:rPr>
      </w:r>
      <w:r>
        <w:rPr>
          <w:rFonts w:eastAsia="Arial"/>
          <w:position w:val="-11"/>
          <w:sz w:val="24"/>
          <w:szCs w:val="24"/>
          <w:highlight w:val="white"/>
        </w:rPr>
      </w:r>
    </w:p>
    <w:p>
      <w:pPr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Сумма поступлений по i-</w:t>
      </w:r>
      <w:r>
        <w:rPr>
          <w:rFonts w:eastAsia="Arial"/>
          <w:highlight w:val="white"/>
        </w:rPr>
        <w:t xml:space="preserve">му</w:t>
      </w:r>
      <w:r>
        <w:rPr>
          <w:rFonts w:eastAsia="Arial"/>
          <w:highlight w:val="white"/>
        </w:rPr>
        <w:t xml:space="preserve"> виду правонарушения рассчитывается по формуле: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jc w:val="center"/>
        <w:shd w:val="clear" w:color="ffffff" w:fill="ffffff"/>
        <w:widowControl w:val="off"/>
        <w:rPr>
          <w:rFonts w:eastAsia="Arial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S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</w:rPr>
        <w:t xml:space="preserve">=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R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</w:rPr>
        <w:t xml:space="preserve"> *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C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sz w:val="24"/>
          <w:szCs w:val="24"/>
          <w:highlight w:val="white"/>
        </w:rPr>
      </w:r>
      <w:r>
        <w:rPr>
          <w:rFonts w:eastAsia="Arial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10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фиксированного размера - применяется фиксированный размер платежа.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11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диапазона, то используется средневзвешенный размер платежа.</w:t>
      </w:r>
      <w:r>
        <w:rPr>
          <w:rFonts w:eastAsia="Arial"/>
        </w:rPr>
      </w:r>
      <w:r>
        <w:rPr>
          <w:rFonts w:eastAsia="Arial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расче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те прогнозируемых поступлений учитывается среднее арифметическое значение годовых объемов доходов от компенсации затрат областного бюджета не менее чем за три года или за весь период поступления данного вида доходов в случае, если он не превышает три года.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993" w:leader="none"/>
        </w:tabs>
        <w:rPr>
          <w:rFonts w:eastAsia="Calibri"/>
          <w:lang w:eastAsia="en-US"/>
        </w:rPr>
      </w:pPr>
      <w:r>
        <w:rPr>
          <w:rFonts w:eastAsia="Calibri"/>
          <w:highlight w:val="white"/>
          <w:lang w:eastAsia="en-US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Описание показателей, используемых для расчетов: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PR - прогнозируемые поступления по доходному источнику,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S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сумма поступлений по i-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виду правонарушения,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k - количество видов правонарушений;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Z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(по согласованию с МФ и НП НСО)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корректирующая сумма поступлений (увеличение или уменьшение прогноза поступления доходов), включающая: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изменении законодательства РФ об административных правонарушениях в выбранном периоде усреднени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я, повлекшего значительное (более 50% от годовой суммы поступления доходов) увеличение или уменьшение поступлений по доходному источнику, учитывает фактическое поступление в областной бюджет доходов за истекшие месяцы текущего финансового года, тыс. руб.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R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фиксированный размер/средневзвешенный размер платежа за i-й вид правонарушения,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993" w:leader="none"/>
        </w:tabs>
        <w:rPr>
          <w:rFonts w:eastAsia="Calibri"/>
          <w:lang w:eastAsia="en-US"/>
        </w:rPr>
      </w:pPr>
      <w:r>
        <w:rPr>
          <w:highlight w:val="white"/>
        </w:rPr>
        <w:t xml:space="preserve">c</w:t>
      </w:r>
      <w:r>
        <w:rPr>
          <w:highlight w:val="white"/>
          <w:vertAlign w:val="subscript"/>
        </w:rPr>
        <w:t xml:space="preserve">i</w:t>
      </w:r>
      <w:r>
        <w:rPr>
          <w:highlight w:val="white"/>
        </w:rPr>
        <w:t xml:space="preserve"> - количество правонарушений i-</w:t>
      </w:r>
      <w:r>
        <w:rPr>
          <w:highlight w:val="white"/>
        </w:rPr>
        <w:t xml:space="preserve">го</w:t>
      </w:r>
      <w:r>
        <w:rPr>
          <w:highlight w:val="white"/>
        </w:rPr>
        <w:t xml:space="preserve"> вида.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212 000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200 000 рублей, 2027 год – 200 000 рублей, 2028 год – 200 000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bCs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bCs/>
          <w:i/>
          <w:lang w:eastAsia="en-US"/>
        </w:rPr>
      </w:r>
      <w:r>
        <w:rPr>
          <w:rFonts w:eastAsia="Calibri"/>
          <w:bCs/>
          <w:i/>
          <w:lang w:eastAsia="en-US"/>
        </w:rPr>
      </w:r>
    </w:p>
    <w:p>
      <w:pPr>
        <w:ind w:firstLine="709"/>
        <w:jc w:val="both"/>
        <w:rPr>
          <w:rFonts w:eastAsia="Calibri"/>
          <w:color w:val="0070c0" w:themeColor="text1"/>
          <w:highlight w:val="white"/>
        </w:rPr>
      </w:pPr>
      <w:r>
        <w:rPr>
          <w:rFonts w:eastAsia="Calibri"/>
          <w:color w:val="000000" w:themeColor="text1"/>
          <w:highlight w:val="white"/>
          <w:lang w:eastAsia="en-US"/>
        </w:rPr>
        <w:t xml:space="preserve">Сумма ожидаемых поступлений в 2025 году рассчитана с учетом фактического поступления доходов за истекший период текущего года, а также оценки поступлений доходов до конца года.</w:t>
      </w:r>
      <w:r>
        <w:rPr>
          <w:rFonts w:eastAsia="Calibri"/>
          <w:color w:val="0070c0" w:themeColor="text1"/>
          <w:highlight w:val="white"/>
        </w:rPr>
      </w:r>
      <w:r>
        <w:rPr>
          <w:rFonts w:eastAsia="Calibri"/>
          <w:color w:val="0070c0" w:themeColor="text1"/>
          <w:highlight w:val="white"/>
        </w:rPr>
      </w:r>
    </w:p>
    <w:p>
      <w:pPr>
        <w:ind w:firstLine="709"/>
        <w:jc w:val="both"/>
        <w:rPr>
          <w:rFonts w:eastAsia="Calibri"/>
          <w:highlight w:val="white"/>
        </w:rPr>
      </w:pPr>
      <w:r>
        <w:rPr>
          <w:rFonts w:eastAsia="Calibri"/>
          <w:lang w:eastAsia="en-US"/>
        </w:rPr>
      </w:r>
      <w:r>
        <w:rPr>
          <w:rFonts w:eastAsia="Calibri"/>
          <w:highlight w:val="white"/>
          <w:lang w:eastAsia="en-US"/>
        </w:rPr>
        <w:t xml:space="preserve">Исходя из сложившихся итоговых сумм поступлений за 2023 - 2024 годы и ожидаемого поступления доходов по данному виду доходного источника в 2025 году, прогнозная сумма доходов на 2026 год сложилась в сумме 142 000 рублей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highlight w:val="white"/>
          <w:lang w:eastAsia="en-US"/>
        </w:rPr>
        <w:t xml:space="preserve"> 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ind w:firstLine="850"/>
        <w:jc w:val="both"/>
        <w:rPr>
          <w:rFonts w:eastAsia="Calibri"/>
          <w:highlight w:val="white"/>
          <w:lang w:eastAsia="en-US"/>
        </w:rPr>
      </w:pPr>
      <w:r>
        <w:rPr>
          <w:rFonts w:eastAsia="Calibri"/>
          <w:highlight w:val="white"/>
          <w:lang w:eastAsia="en-US"/>
        </w:rPr>
        <w:t xml:space="preserve">Прогноз поступления доходов на плановый период 2027 и 2028 годов рассчитан исходя из прогнозируемого поступления доходов в 2026 году.</w:t>
      </w: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</w:p>
    <w:p>
      <w:pPr>
        <w:ind w:firstLine="850"/>
        <w:jc w:val="both"/>
        <w:rPr>
          <w:rFonts w:eastAsia="Calibri"/>
          <w:highlight w:val="white"/>
          <w:lang w:eastAsia="en-US"/>
        </w:rPr>
      </w:pP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</w:p>
    <w:p>
      <w:pPr>
        <w:pStyle w:val="867"/>
        <w:numPr>
          <w:ilvl w:val="0"/>
          <w:numId w:val="1"/>
        </w:numPr>
        <w:contextualSpacing/>
        <w:ind w:left="0" w:firstLine="709"/>
        <w:jc w:val="both"/>
        <w:tabs>
          <w:tab w:val="left" w:pos="851" w:leader="none"/>
          <w:tab w:val="left" w:pos="993" w:leader="none"/>
        </w:tabs>
        <w:rPr>
          <w:strike/>
        </w:rPr>
      </w:pPr>
      <w:r>
        <w:rPr>
          <w:b/>
        </w:rPr>
        <w:t xml:space="preserve">197 1 16 01152 01 0000 140 </w:t>
      </w:r>
      <w:r>
        <w:t xml:space="preserve">«Административные ш</w:t>
      </w:r>
      <w:r>
        <w:t xml:space="preserve">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</w:t>
      </w:r>
      <w:r>
        <w:t xml:space="preserve">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Федерации», прогнозируемые к поступлению в расчетном году, рассчитываются по формуле:</w:t>
      </w:r>
      <w:r>
        <w:rPr>
          <w:strike/>
        </w:rPr>
      </w:r>
      <w:r>
        <w:rPr>
          <w:strike/>
        </w:rPr>
      </w:r>
    </w:p>
    <w:p>
      <w:pPr>
        <w:jc w:val="center"/>
        <w:spacing w:line="235" w:lineRule="auto"/>
        <w:shd w:val="clear" w:color="ffffff" w:fill="ffffff"/>
        <w:widowControl w:val="off"/>
        <w:rPr>
          <w:rFonts w:eastAsia="Arial"/>
          <w:position w:val="-11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PR</w:t>
      </w:r>
      <w:r>
        <w:rPr>
          <w:rFonts w:eastAsia="Arial"/>
          <w:position w:val="-11"/>
          <w:sz w:val="24"/>
          <w:szCs w:val="24"/>
          <w:highlight w:val="white"/>
        </w:rPr>
        <w:t xml:space="preserve">=</w:t>
      </w:r>
      <w:r>
        <w:rPr>
          <w:rFonts w:eastAsia="Cambria Math"/>
          <w:position w:val="-11"/>
          <w:sz w:val="24"/>
          <w:szCs w:val="24"/>
          <w:highlight w:val="white"/>
          <w:lang w:val="en-US"/>
        </w:rPr>
        <w:t xml:space="preserve">Σ</w:t>
      </w:r>
      <w:r>
        <w:rPr>
          <w:rFonts w:eastAsia="Arial"/>
          <w:position w:val="-11"/>
          <w:sz w:val="24"/>
          <w:szCs w:val="24"/>
          <w:highlight w:val="white"/>
        </w:rPr>
        <w:t xml:space="preserve">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k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=1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Si</w:t>
      </w:r>
      <w:r>
        <w:rPr>
          <w:rFonts w:eastAsia="Arial"/>
          <w:position w:val="-11"/>
          <w:sz w:val="24"/>
          <w:szCs w:val="24"/>
          <w:highlight w:val="white"/>
        </w:rPr>
        <w:t xml:space="preserve">±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Z</w:t>
      </w:r>
      <w:r>
        <w:rPr>
          <w:rFonts w:eastAsia="Arial"/>
          <w:position w:val="-11"/>
          <w:sz w:val="24"/>
          <w:szCs w:val="24"/>
          <w:highlight w:val="white"/>
        </w:rPr>
      </w:r>
      <w:r>
        <w:rPr>
          <w:rFonts w:eastAsia="Arial"/>
          <w:position w:val="-11"/>
          <w:sz w:val="24"/>
          <w:szCs w:val="24"/>
          <w:highlight w:val="white"/>
        </w:rPr>
      </w:r>
    </w:p>
    <w:p>
      <w:pPr>
        <w:ind w:firstLine="709"/>
        <w:jc w:val="both"/>
        <w:spacing w:line="235" w:lineRule="auto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Сумма поступлений по i-</w:t>
      </w:r>
      <w:r>
        <w:rPr>
          <w:rFonts w:eastAsia="Arial"/>
          <w:highlight w:val="white"/>
        </w:rPr>
        <w:t xml:space="preserve">му</w:t>
      </w:r>
      <w:r>
        <w:rPr>
          <w:rFonts w:eastAsia="Arial"/>
          <w:highlight w:val="white"/>
        </w:rPr>
        <w:t xml:space="preserve"> виду правонарушения рассчитывается по формуле: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jc w:val="center"/>
        <w:spacing w:line="235" w:lineRule="auto"/>
        <w:shd w:val="clear" w:color="ffffff" w:fill="ffffff"/>
        <w:widowControl w:val="off"/>
        <w:rPr>
          <w:rFonts w:eastAsia="Arial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S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 </w:t>
      </w:r>
      <w:r>
        <w:rPr>
          <w:rFonts w:eastAsia="Arial"/>
          <w:position w:val="-11"/>
          <w:sz w:val="24"/>
          <w:szCs w:val="24"/>
          <w:highlight w:val="white"/>
        </w:rPr>
        <w:t xml:space="preserve">=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R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</w:rPr>
        <w:t xml:space="preserve"> *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C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sz w:val="24"/>
          <w:szCs w:val="24"/>
          <w:highlight w:val="white"/>
        </w:rPr>
      </w:r>
      <w:r>
        <w:rPr>
          <w:rFonts w:eastAsia="Arial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12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фиксированного размера - применяется фиксированный размер платежа.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13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диапазона, то используется средневзвешенный размер платежа.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При расчете прогнозируемых поступлений учитывается среднее арифметическое значение годовых объемов доходов бюджетов бюджетной системы РФ не менее чем за три года или за весь период поступления данного вида доходов в случае, если он не превышает три года.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tabs>
          <w:tab w:val="left" w:pos="993" w:leader="none"/>
        </w:tabs>
        <w:rPr>
          <w:rFonts w:eastAsia="Calibri"/>
        </w:rPr>
      </w:pPr>
      <w:r>
        <w:rPr>
          <w:rFonts w:eastAsia="Calibri"/>
          <w:highlight w:val="white"/>
          <w:lang w:eastAsia="en-US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</w:t>
      </w:r>
      <w:r>
        <w:rPr>
          <w:rFonts w:eastAsia="Calibri"/>
          <w:highlight w:val="white"/>
          <w:lang w:eastAsia="en-US"/>
        </w:rPr>
        <w:t xml:space="preserve">поступления доходов за истекший период текущего года, а также оценки поступлений доходов до конца года.</w:t>
      </w:r>
      <w:r>
        <w:rPr>
          <w:rFonts w:eastAsia="Calibri"/>
        </w:rPr>
      </w:r>
      <w:r>
        <w:rPr>
          <w:rFonts w:eastAsia="Calibri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Описание показателей, используемых для расчетов: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PR - прогнозируемые поступления по доходному источнику,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Z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(по согласованию с МФ и НП НСО)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корректирующая сумма поступлений (увеличение или уменьшение прогноза поступления доходов), включающая: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изменении законодательства РФ об административных правонарушениях в выбранном периоде усредне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ния, повлекшего значительное (более 50% от годовой суммы поступления доходов) увеличение или уменьшение поступлений по доходному источнику, учитывает фактическое поступление в областной бюджет доходов за истекшие месяцы текущего финансового года, тыс. руб.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PR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прогнозируемые поступления по доходному источнику,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S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сумма поступлений по i-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виду правонарушения,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k - количество видов правонарушений;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R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фиксированный размер/ средневзвешенный размер платежа за i-й вид правонарушения,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993" w:leader="none"/>
        </w:tabs>
      </w:pPr>
      <w:r>
        <w:rPr>
          <w:highlight w:val="white"/>
        </w:rPr>
        <w:t xml:space="preserve">c</w:t>
      </w:r>
      <w:r>
        <w:rPr>
          <w:highlight w:val="white"/>
          <w:vertAlign w:val="subscript"/>
        </w:rPr>
        <w:t xml:space="preserve">i</w:t>
      </w:r>
      <w:r>
        <w:rPr>
          <w:highlight w:val="white"/>
        </w:rPr>
        <w:t xml:space="preserve"> - количество правонарушений i-</w:t>
      </w:r>
      <w:r>
        <w:rPr>
          <w:highlight w:val="white"/>
        </w:rPr>
        <w:t xml:space="preserve">го</w:t>
      </w:r>
      <w:r>
        <w:rPr>
          <w:highlight w:val="white"/>
        </w:rPr>
        <w:t xml:space="preserve"> вида;</w:t>
      </w:r>
      <w:r/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2 000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0 рублей, 2027 год – 0 рублей, 2028 год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i/>
          <w:lang w:eastAsia="en-US"/>
        </w:rPr>
      </w:r>
      <w:r>
        <w:rPr>
          <w:rFonts w:eastAsia="Calibri"/>
          <w:i/>
          <w:lang w:eastAsia="en-US"/>
        </w:rPr>
      </w:r>
    </w:p>
    <w:p>
      <w:pPr>
        <w:ind w:firstLine="709"/>
        <w:jc w:val="both"/>
        <w:rPr>
          <w:rFonts w:eastAsia="Calibri"/>
          <w:highlight w:val="yellow"/>
          <w:lang w:eastAsia="en-US"/>
        </w:rPr>
      </w:pPr>
      <w:r>
        <w:rPr>
          <w:rFonts w:eastAsia="Calibri"/>
          <w:highlight w:val="white"/>
          <w:lang w:eastAsia="en-US"/>
        </w:rPr>
        <w:t xml:space="preserve">Сумма ожидаемых поступлений в 2025 году рассчитана с учетом фактического поступления доходов за истекший период текущего года, а также оценки поступлений доходов до конца года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highlight w:val="yellow"/>
          <w:lang w:eastAsia="en-US"/>
        </w:rPr>
      </w:r>
      <w:r>
        <w:rPr>
          <w:rFonts w:eastAsia="Calibri"/>
          <w:highlight w:val="yellow"/>
          <w:lang w:eastAsia="en-US"/>
        </w:rPr>
      </w:r>
    </w:p>
    <w:p>
      <w:pPr>
        <w:ind w:firstLine="709"/>
        <w:jc w:val="both"/>
        <w:rPr>
          <w:rFonts w:eastAsia="Calibri"/>
          <w:highlight w:val="white"/>
        </w:rPr>
      </w:pPr>
      <w:r>
        <w:rPr>
          <w:rFonts w:eastAsia="Calibri"/>
          <w:lang w:eastAsia="en-US"/>
        </w:rPr>
      </w:r>
      <w:r>
        <w:rPr>
          <w:rFonts w:eastAsia="Calibri"/>
          <w:highlight w:val="white"/>
          <w:lang w:eastAsia="en-US"/>
        </w:rPr>
        <w:t xml:space="preserve">Исходя из сложившихся итоговых сумм поступлений за 2023 - 2024 годы и ожидаемого поступления доходов по данному виду доходного источника в 2025 году, прогнозная сумма доходов на 2026 год </w:t>
      </w:r>
      <w:r>
        <w:rPr>
          <w:rFonts w:eastAsia="Calibri"/>
          <w:highlight w:val="white"/>
          <w:lang w:eastAsia="en-US"/>
        </w:rPr>
        <w:t xml:space="preserve">на плановый период 2027 и 2028 годов </w:t>
      </w:r>
      <w:r>
        <w:rPr>
          <w:rFonts w:eastAsia="Calibri"/>
          <w:highlight w:val="white"/>
          <w:lang w:eastAsia="en-US"/>
        </w:rPr>
        <w:t xml:space="preserve"> сложилась в сумме 0 рублей. 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ind w:firstLine="850"/>
        <w:jc w:val="both"/>
        <w:rPr>
          <w:rFonts w:eastAsia="Calibri"/>
          <w:highlight w:val="white"/>
          <w:lang w:eastAsia="en-US"/>
        </w:rPr>
      </w:pP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</w:p>
    <w:p>
      <w:pPr>
        <w:pStyle w:val="867"/>
        <w:numPr>
          <w:ilvl w:val="0"/>
          <w:numId w:val="1"/>
        </w:numPr>
        <w:contextualSpacing/>
        <w:ind w:left="0" w:firstLine="709"/>
        <w:jc w:val="both"/>
        <w:tabs>
          <w:tab w:val="left" w:pos="993" w:leader="none"/>
        </w:tabs>
        <w:rPr>
          <w:strike/>
        </w:rPr>
      </w:pPr>
      <w:r>
        <w:rPr>
          <w:b/>
        </w:rPr>
        <w:t xml:space="preserve">197 1 16 01156 01 0000 140 </w:t>
      </w:r>
      <w:r>
        <w:t xml:space="preserve">«Административные штрафы, установл</w:t>
      </w:r>
      <w:r>
        <w:t xml:space="preserve">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</w:t>
      </w:r>
      <w:r>
        <w:t xml:space="preserve">неперечислением</w:t>
      </w:r>
      <w:r>
        <w:t xml:space="preserve">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</w:t>
      </w:r>
      <w:r>
        <w:t xml:space="preserve">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субъекта Российской Федерации», прогнозируемые к поступлению в расчетном году, рассчитываются по формуле:</w:t>
      </w:r>
      <w:r>
        <w:rPr>
          <w:strike/>
        </w:rPr>
      </w:r>
      <w:r>
        <w:rPr>
          <w:strike/>
        </w:rPr>
      </w:r>
    </w:p>
    <w:p>
      <w:pPr>
        <w:jc w:val="center"/>
        <w:shd w:val="clear" w:color="ffffff" w:fill="ffffff"/>
        <w:widowControl w:val="off"/>
        <w:rPr>
          <w:rFonts w:eastAsia="Arial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sz w:val="24"/>
          <w:szCs w:val="24"/>
          <w:highlight w:val="white"/>
        </w:rPr>
        <w:t xml:space="preserve">PR = PR</w:t>
      </w:r>
      <w:r>
        <w:rPr>
          <w:rFonts w:eastAsia="Arial"/>
          <w:sz w:val="24"/>
          <w:szCs w:val="24"/>
          <w:highlight w:val="white"/>
          <w:vertAlign w:val="subscript"/>
        </w:rPr>
        <w:t xml:space="preserve">1</w:t>
      </w:r>
      <w:r>
        <w:rPr>
          <w:rFonts w:eastAsia="Arial"/>
          <w:sz w:val="24"/>
          <w:szCs w:val="24"/>
          <w:highlight w:val="white"/>
        </w:rPr>
        <w:t xml:space="preserve"> + PR</w:t>
      </w:r>
      <w:r>
        <w:rPr>
          <w:rFonts w:eastAsia="Arial"/>
          <w:sz w:val="24"/>
          <w:szCs w:val="24"/>
          <w:highlight w:val="white"/>
          <w:vertAlign w:val="subscript"/>
        </w:rPr>
        <w:t xml:space="preserve">2</w:t>
      </w:r>
      <w:r>
        <w:rPr>
          <w:rFonts w:eastAsia="Arial"/>
          <w:sz w:val="24"/>
          <w:szCs w:val="24"/>
          <w:highlight w:val="white"/>
        </w:rPr>
        <w:t xml:space="preserve"> ± Z</w:t>
      </w:r>
      <w:r>
        <w:rPr>
          <w:rFonts w:eastAsia="Arial"/>
          <w:sz w:val="24"/>
          <w:szCs w:val="24"/>
          <w:highlight w:val="white"/>
        </w:rPr>
      </w:r>
      <w:r>
        <w:rPr>
          <w:rFonts w:eastAsia="Arial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величина штрафа установлена в виде фиксированного размера (диапазона) платежа прогноз поступлений доходов рассчитывается по следующей формуле: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jc w:val="center"/>
        <w:shd w:val="clear" w:color="ffffff" w:fill="ffffff"/>
        <w:widowControl w:val="off"/>
        <w:rPr>
          <w:rFonts w:eastAsia="Arial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PR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1</w:t>
      </w:r>
      <w:r>
        <w:rPr>
          <w:rFonts w:eastAsia="Arial"/>
          <w:position w:val="-11"/>
          <w:sz w:val="24"/>
          <w:szCs w:val="24"/>
          <w:highlight w:val="white"/>
        </w:rPr>
        <w:t xml:space="preserve"> = </w:t>
      </w:r>
      <w:r>
        <w:rPr>
          <w:rFonts w:eastAsia="Cambria Math"/>
          <w:position w:val="-11"/>
          <w:sz w:val="24"/>
          <w:szCs w:val="24"/>
          <w:highlight w:val="white"/>
          <w:lang w:val="en-US"/>
        </w:rPr>
        <w:t xml:space="preserve">Σ</w:t>
      </w:r>
      <w:r>
        <w:rPr>
          <w:rFonts w:eastAsia="Arial"/>
          <w:position w:val="-11"/>
          <w:sz w:val="24"/>
          <w:szCs w:val="24"/>
          <w:highlight w:val="white"/>
        </w:rPr>
        <w:t xml:space="preserve">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k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=1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Si</w:t>
      </w:r>
      <w:r>
        <w:rPr>
          <w:rFonts w:eastAsia="Arial"/>
          <w:sz w:val="24"/>
          <w:szCs w:val="24"/>
          <w:highlight w:val="white"/>
        </w:rPr>
      </w:r>
      <w:r>
        <w:rPr>
          <w:rFonts w:eastAsia="Arial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Сумма поступлений по i-</w:t>
      </w:r>
      <w:r>
        <w:rPr>
          <w:rFonts w:eastAsia="Arial"/>
          <w:highlight w:val="white"/>
        </w:rPr>
        <w:t xml:space="preserve">му</w:t>
      </w:r>
      <w:r>
        <w:rPr>
          <w:rFonts w:eastAsia="Arial"/>
          <w:highlight w:val="white"/>
        </w:rPr>
        <w:t xml:space="preserve"> виду правонарушения рассчитывается по формуле: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jc w:val="center"/>
        <w:shd w:val="clear" w:color="ffffff" w:fill="ffffff"/>
        <w:widowControl w:val="off"/>
        <w:rPr>
          <w:rFonts w:eastAsia="Arial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S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 </w:t>
      </w:r>
      <w:r>
        <w:rPr>
          <w:rFonts w:eastAsia="Arial"/>
          <w:position w:val="-11"/>
          <w:sz w:val="24"/>
          <w:szCs w:val="24"/>
          <w:highlight w:val="white"/>
        </w:rPr>
        <w:t xml:space="preserve">=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R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</w:rPr>
        <w:t xml:space="preserve"> *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C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sz w:val="24"/>
          <w:szCs w:val="24"/>
          <w:highlight w:val="white"/>
        </w:rPr>
      </w:r>
      <w:r>
        <w:rPr>
          <w:rFonts w:eastAsia="Arial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14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фиксированного размера - применяется фиксированный размер платежа.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15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диапазона, то используется средневзвешенный размер платежа.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диапазон штрафов установлен КоАП РФ в процентном соотношении к суммам выявленных нарушений (соответствующие </w:t>
      </w:r>
      <w:hyperlink r:id="rId16" w:tooltip="consultantplus://offline/ref=9E433F43CC9DB438F140DAA7EFB5679D9CA0A9280509F9868BB5DD2AE12E0863D9D0C594C7289BB019E73C436ED27A97B8B1DDD99D2340T0L" w:history="1">
        <w:r>
          <w:rPr>
            <w:rFonts w:eastAsia="Arial"/>
            <w:highlight w:val="white"/>
          </w:rPr>
          <w:t xml:space="preserve">статьи </w:t>
        </w:r>
      </w:hyperlink>
      <w:r>
        <w:rPr>
          <w:rFonts w:eastAsia="Arial"/>
          <w:highlight w:val="white"/>
        </w:rPr>
        <w:t xml:space="preserve">КоАП РФ), прогноз поступлений доходов рассчитывается по следующей формуле: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jc w:val="center"/>
        <w:shd w:val="clear" w:color="ffffff" w:fill="ffffff"/>
        <w:widowControl w:val="off"/>
        <w:rPr>
          <w:rFonts w:eastAsia="Arial"/>
          <w:position w:val="-11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PR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2 </w:t>
      </w:r>
      <w:r>
        <w:rPr>
          <w:rFonts w:eastAsia="Arial"/>
          <w:position w:val="-11"/>
          <w:sz w:val="24"/>
          <w:szCs w:val="24"/>
          <w:highlight w:val="white"/>
        </w:rPr>
        <w:t xml:space="preserve">= ∑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n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=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1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F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</w:rPr>
        <w:t xml:space="preserve">/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n</w:t>
      </w:r>
      <w:r>
        <w:rPr>
          <w:rFonts w:eastAsia="Arial"/>
          <w:position w:val="-11"/>
          <w:sz w:val="24"/>
          <w:szCs w:val="24"/>
          <w:highlight w:val="white"/>
        </w:rPr>
      </w:r>
      <w:r>
        <w:rPr>
          <w:rFonts w:eastAsia="Arial"/>
          <w:position w:val="-11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При расчете прогнозируемых поступлений учитывается среднее арифметическое значение годовых объемов доходов бюджетов бюджетной </w:t>
      </w:r>
      <w:r>
        <w:rPr>
          <w:rFonts w:eastAsia="Arial"/>
          <w:highlight w:val="white"/>
        </w:rPr>
        <w:t xml:space="preserve">системы РФ не менее чем за три года или за весь период поступления данного вида доходов в случае, если он не превышает три года.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tabs>
          <w:tab w:val="left" w:pos="993" w:leader="none"/>
        </w:tabs>
        <w:rPr>
          <w:rFonts w:eastAsia="Calibri"/>
          <w:lang w:eastAsia="en-US"/>
        </w:rPr>
      </w:pPr>
      <w:r>
        <w:rPr>
          <w:rFonts w:eastAsia="Calibri"/>
          <w:highlight w:val="white"/>
          <w:lang w:eastAsia="en-US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Описание показателей, используемых для расчетов: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Z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(по согласованию с МФ и НП НСО)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корректирующая сумма поступлений (увеличение или уменьшение прогноза поступления доходов), включающая: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изменении законодательства РФ об административных правонарушениях в выбранном периоде усреднен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ия, повлекшего значительное (более 50% от годовой суммы поступления доходов) увеличение или уменьшение поступлений по доходному источнику, учитывает фактическое поступление в областной бюджет доходов за истекшие месяцы текущего финансового года, тыс. руб.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PR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прогнозируемые поступления по доходному источнику (в случае если величина штрафа установлена в виде фиксированного размера (диапазона) платежа соответствующих </w:t>
      </w:r>
      <w:hyperlink r:id="rId17" w:tooltip="consultantplus://offline/ref=9E433F43CC9DB438F140DAA7EFB5679D9CA0A9280509F9868BB5DD2AE12E0863D9D0C592C32090B019E73C436ED27A97B8B1DDD99D2340T0L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статей 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КоАП РФ),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S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сумма поступлений по i-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виду правонарушения,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k - количество видов правонарушений;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R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фиксированный размер/ средневзвешенный размер платежа за i-й вид правонарушения,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c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количество правонарушений i-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вида;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PR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прогнозируемые поступления по доходному источнику (в случае если диапазон штрафов установлен КоАП РФ в процентном соотношении к суммам выявленных нарушений),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F</w:t>
      </w:r>
      <w:r>
        <w:rPr>
          <w:rFonts w:ascii="Times New Roman" w:hAnsi="Times New Roman" w:cs="Times New Roman"/>
          <w:sz w:val="28"/>
          <w:szCs w:val="28"/>
          <w:highlight w:val="white"/>
          <w:vertAlign w:val="subscript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фактически поступившие в i-м году доходы,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tabs>
          <w:tab w:val="left" w:pos="993" w:leader="none"/>
        </w:tabs>
      </w:pPr>
      <w:r>
        <w:rPr>
          <w:highlight w:val="white"/>
        </w:rPr>
        <w:t xml:space="preserve">n - фактическое число лет в выбранном периоде усреднения</w:t>
      </w:r>
      <w:r/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Ожидаемое поступление в 2025 году – 67 000 рублей.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51 000 рублей, 2027 год – 51 000 рублей, 2028 год – 51 000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i/>
          <w:lang w:eastAsia="en-US"/>
        </w:rPr>
      </w:r>
      <w:r>
        <w:rPr>
          <w:rFonts w:eastAsia="Calibri"/>
          <w:i/>
          <w:lang w:eastAsia="en-US"/>
        </w:rPr>
      </w:r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highlight w:val="white"/>
          <w:lang w:eastAsia="en-US"/>
        </w:rPr>
        <w:t xml:space="preserve">Сумма ожидаемых поступлений в 2025 году рассчитана с учетом фактического поступления доходов за истекший период текущего года, а также оценки поступлений доходов до конца года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  <w:highlight w:val="white"/>
        </w:rPr>
      </w:pPr>
      <w:r>
        <w:rPr>
          <w:rFonts w:eastAsia="Calibri"/>
          <w:lang w:eastAsia="en-US"/>
        </w:rPr>
      </w:r>
      <w:r>
        <w:rPr>
          <w:rFonts w:eastAsia="Calibri"/>
          <w:highlight w:val="white"/>
          <w:lang w:eastAsia="en-US"/>
        </w:rPr>
        <w:t xml:space="preserve">Исходя из сложившихся итоговых сумм поступлений за 2023 - 2024 годы и ожидаемого поступления доходов по данному виду доходного источника в 2025 году, прогнозная сумма доходов на 2026 год сложилась в сумме </w:t>
      </w:r>
      <w:r>
        <w:rPr>
          <w:rFonts w:eastAsia="Calibri"/>
          <w:lang w:eastAsia="en-US"/>
        </w:rPr>
        <w:t xml:space="preserve">36 000 рубле</w:t>
      </w:r>
      <w:r>
        <w:rPr>
          <w:rFonts w:eastAsia="Calibri"/>
          <w:highlight w:val="white"/>
          <w:lang w:eastAsia="en-US"/>
        </w:rPr>
        <w:t xml:space="preserve">й. 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ind w:firstLine="850"/>
        <w:jc w:val="both"/>
        <w:rPr>
          <w:rFonts w:eastAsia="Calibri"/>
          <w:lang w:eastAsia="en-US"/>
        </w:rPr>
      </w:pPr>
      <w:r>
        <w:rPr>
          <w:rFonts w:eastAsia="Calibri"/>
          <w:highlight w:val="white"/>
          <w:lang w:eastAsia="en-US"/>
        </w:rPr>
        <w:t xml:space="preserve">Прогноз поступления доходов на плановый период 2027 и 2028 годов рассчитан исходя из прогнозируемого поступления доходов в 2026 году.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8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67"/>
        <w:numPr>
          <w:ilvl w:val="0"/>
          <w:numId w:val="1"/>
        </w:numPr>
        <w:contextualSpacing/>
        <w:ind w:left="0" w:firstLine="709"/>
        <w:jc w:val="both"/>
        <w:tabs>
          <w:tab w:val="left" w:pos="491" w:leader="none"/>
          <w:tab w:val="left" w:pos="568" w:leader="none"/>
          <w:tab w:val="left" w:pos="1134" w:leader="none"/>
        </w:tabs>
        <w:rPr>
          <w:strike/>
        </w:rPr>
      </w:pPr>
      <w:r>
        <w:rPr>
          <w:b/>
        </w:rPr>
        <w:t xml:space="preserve">197 116 01192 01 0000 140 </w:t>
      </w:r>
      <w:r>
        <w:t xml:space="preserve">«Административные штрафы, установленные главой 19 Кодекса Российской Федерации об административных правонарушениях, за административны</w:t>
      </w:r>
      <w:r>
        <w:t xml:space="preserve">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Федерации», прогнозируемые к поступлению в расчетном году, рассчитываются по формуле:</w:t>
      </w:r>
      <w:r>
        <w:rPr>
          <w:strike/>
        </w:rPr>
      </w:r>
      <w:r>
        <w:rPr>
          <w:strike/>
        </w:rPr>
      </w:r>
    </w:p>
    <w:p>
      <w:pPr>
        <w:ind w:firstLine="709"/>
        <w:jc w:val="center"/>
        <w:shd w:val="clear" w:color="ffffff" w:fill="ffffff"/>
        <w:widowControl w:val="off"/>
        <w:rPr>
          <w:rFonts w:eastAsia="Arial"/>
          <w:position w:val="-11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PR</w:t>
      </w:r>
      <w:r>
        <w:rPr>
          <w:rFonts w:eastAsia="Arial"/>
          <w:position w:val="-11"/>
          <w:sz w:val="24"/>
          <w:szCs w:val="24"/>
          <w:highlight w:val="white"/>
        </w:rPr>
        <w:t xml:space="preserve">=</w:t>
      </w:r>
      <w:r>
        <w:rPr>
          <w:rFonts w:eastAsia="Cambria Math"/>
          <w:position w:val="-11"/>
          <w:sz w:val="24"/>
          <w:szCs w:val="24"/>
          <w:highlight w:val="white"/>
          <w:lang w:val="en-US"/>
        </w:rPr>
        <w:t xml:space="preserve">Σ</w:t>
      </w:r>
      <w:r>
        <w:rPr>
          <w:rFonts w:eastAsia="Arial"/>
          <w:position w:val="-11"/>
          <w:sz w:val="24"/>
          <w:szCs w:val="24"/>
          <w:highlight w:val="white"/>
        </w:rPr>
        <w:t xml:space="preserve">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k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=1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Si</w:t>
      </w:r>
      <w:r>
        <w:rPr>
          <w:rFonts w:eastAsia="Arial"/>
          <w:position w:val="-11"/>
          <w:sz w:val="24"/>
          <w:szCs w:val="24"/>
          <w:highlight w:val="white"/>
        </w:rPr>
        <w:t xml:space="preserve">±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Z</w:t>
      </w:r>
      <w:r>
        <w:rPr>
          <w:rFonts w:eastAsia="Arial"/>
          <w:position w:val="-11"/>
          <w:sz w:val="24"/>
          <w:szCs w:val="24"/>
          <w:highlight w:val="white"/>
        </w:rPr>
      </w:r>
      <w:r>
        <w:rPr>
          <w:rFonts w:eastAsia="Arial"/>
          <w:position w:val="-11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Сумма поступлений по i-</w:t>
      </w:r>
      <w:r>
        <w:rPr>
          <w:rFonts w:eastAsia="Arial"/>
          <w:highlight w:val="white"/>
        </w:rPr>
        <w:t xml:space="preserve">му</w:t>
      </w:r>
      <w:r>
        <w:rPr>
          <w:rFonts w:eastAsia="Arial"/>
          <w:highlight w:val="white"/>
        </w:rPr>
        <w:t xml:space="preserve"> виду правонарушения рассчитывается по формуле: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center"/>
        <w:shd w:val="clear" w:color="ffffff" w:fill="ffffff"/>
        <w:widowControl w:val="off"/>
        <w:rPr>
          <w:rFonts w:eastAsia="Arial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S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</w:rPr>
        <w:t xml:space="preserve">=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R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</w:rPr>
        <w:t xml:space="preserve"> * 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C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sz w:val="24"/>
          <w:szCs w:val="24"/>
          <w:highlight w:val="white"/>
        </w:rPr>
      </w:r>
      <w:r>
        <w:rPr>
          <w:rFonts w:eastAsia="Arial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18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фиксированного размера - применяется фиксированный размер платежа.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19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диапазона, то используется средневзвешенный размер платежа.</w:t>
      </w:r>
      <w:r>
        <w:rPr>
          <w:rFonts w:eastAsia="Arial"/>
        </w:rPr>
      </w:r>
      <w:r>
        <w:rPr>
          <w:rFonts w:eastAsia="Arial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При расчете прогнозируемых поступлений учитывается среднее арифметическое значение годовых объемов доходов бюджетов бюджетной системы РФ не менее чем за три года или за весь период поступления данного вида доходов в случае, если он не превышает три года.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Calibri"/>
          <w:highlight w:val="white"/>
          <w:lang w:eastAsia="en-US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Calibri"/>
          <w:highlight w:val="white"/>
          <w:lang w:eastAsia="en-US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В случае если размер платежа установлен </w:t>
      </w:r>
      <w:hyperlink r:id="rId20" w:tooltip="consultantplus://offline/ref=9E433F43CC9DB438F140DAA7EFB5679D9CA0A9280509F9868BB5DD2AE12E0863CBD09D9DC42386BB4AA87A16614DT1L" w:history="1">
        <w:r>
          <w:rPr>
            <w:rFonts w:eastAsia="Arial"/>
            <w:highlight w:val="white"/>
          </w:rPr>
          <w:t xml:space="preserve">КоАП</w:t>
        </w:r>
      </w:hyperlink>
      <w:r>
        <w:rPr>
          <w:rFonts w:eastAsia="Arial"/>
          <w:highlight w:val="white"/>
        </w:rPr>
        <w:t xml:space="preserve"> РФ в виде диапазона, то используется средневзвешенный размер платежа.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Описание показателей, используемых для расчетов: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PR - прогнозируемые поступления по доходному источнику,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S</w:t>
      </w:r>
      <w:r>
        <w:rPr>
          <w:rFonts w:eastAsia="Arial"/>
          <w:highlight w:val="white"/>
          <w:vertAlign w:val="subscript"/>
        </w:rPr>
        <w:t xml:space="preserve">i</w:t>
      </w:r>
      <w:r>
        <w:rPr>
          <w:rFonts w:eastAsia="Arial"/>
          <w:highlight w:val="white"/>
        </w:rPr>
        <w:t xml:space="preserve"> - сумма поступлений по i-</w:t>
      </w:r>
      <w:r>
        <w:rPr>
          <w:rFonts w:eastAsia="Arial"/>
          <w:highlight w:val="white"/>
        </w:rPr>
        <w:t xml:space="preserve">му</w:t>
      </w:r>
      <w:r>
        <w:rPr>
          <w:rFonts w:eastAsia="Arial"/>
          <w:highlight w:val="white"/>
        </w:rPr>
        <w:t xml:space="preserve"> виду правонарушения,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k - количество видов правонарушений;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Z </w:t>
      </w:r>
      <w:r>
        <w:rPr>
          <w:rFonts w:eastAsia="Arial"/>
          <w:highlight w:val="white"/>
          <w:shd w:val="clear" w:color="auto" w:fill="ffffff"/>
        </w:rPr>
        <w:t xml:space="preserve">(по согласованию с МФ и НП НСО)</w:t>
      </w:r>
      <w:r>
        <w:rPr>
          <w:rFonts w:eastAsia="Arial"/>
          <w:highlight w:val="white"/>
        </w:rPr>
        <w:t xml:space="preserve"> - корректирующая сумма поступлений (увеличение или уменьшение прогноза поступления доходов), включающая: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/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При изменении законодательства РФ об административных правонарушениях в выбранном периоде усреднен</w:t>
      </w:r>
      <w:r>
        <w:rPr>
          <w:rFonts w:eastAsia="Arial"/>
          <w:highlight w:val="white"/>
        </w:rPr>
        <w:t xml:space="preserve">ия, повлекшего значительное (более 50% от годовой суммы поступления доходов) увеличение или уменьшение поступлений по доходному источнику, учитывает фактическое поступление в областной бюджет доходов за истекшие месяцы текущего финансового года, тыс. руб. 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R</w:t>
      </w:r>
      <w:r>
        <w:rPr>
          <w:rFonts w:eastAsia="Arial"/>
          <w:highlight w:val="white"/>
          <w:vertAlign w:val="subscript"/>
        </w:rPr>
        <w:t xml:space="preserve">i</w:t>
      </w:r>
      <w:r>
        <w:rPr>
          <w:rFonts w:eastAsia="Arial"/>
          <w:highlight w:val="white"/>
        </w:rPr>
        <w:t xml:space="preserve"> - фиксированный размер /средневзвешенный размер платежа за i-й вид правонарушения,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tabs>
          <w:tab w:val="left" w:pos="993" w:leader="none"/>
        </w:tabs>
      </w:pPr>
      <w:r>
        <w:rPr>
          <w:rFonts w:eastAsia="Calibri"/>
          <w:highlight w:val="white"/>
          <w:lang w:eastAsia="en-US"/>
        </w:rPr>
        <w:t xml:space="preserve">c</w:t>
      </w:r>
      <w:r>
        <w:rPr>
          <w:rFonts w:eastAsia="Calibri"/>
          <w:highlight w:val="white"/>
          <w:vertAlign w:val="subscript"/>
          <w:lang w:eastAsia="en-US"/>
        </w:rPr>
        <w:t xml:space="preserve">i</w:t>
      </w:r>
      <w:r>
        <w:rPr>
          <w:rFonts w:eastAsia="Calibri"/>
          <w:highlight w:val="white"/>
          <w:lang w:eastAsia="en-US"/>
        </w:rPr>
        <w:t xml:space="preserve"> - количество правонарушений i-</w:t>
      </w:r>
      <w:r>
        <w:rPr>
          <w:rFonts w:eastAsia="Calibri"/>
          <w:highlight w:val="white"/>
          <w:lang w:eastAsia="en-US"/>
        </w:rPr>
        <w:t xml:space="preserve">го</w:t>
      </w:r>
      <w:r>
        <w:rPr>
          <w:rFonts w:eastAsia="Calibri"/>
          <w:highlight w:val="white"/>
          <w:lang w:eastAsia="en-US"/>
        </w:rPr>
        <w:t xml:space="preserve"> вида</w:t>
      </w:r>
      <w:r/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55 000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70 000 рублей, 2027 год – 70 000 рублей, 2028 год – 70 000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bCs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bCs/>
          <w:i/>
          <w:lang w:eastAsia="en-US"/>
        </w:rPr>
      </w:r>
      <w:r>
        <w:rPr>
          <w:rFonts w:eastAsia="Calibri"/>
          <w:bCs/>
          <w:i/>
          <w:lang w:eastAsia="en-US"/>
        </w:rPr>
      </w:r>
    </w:p>
    <w:p>
      <w:pPr>
        <w:ind w:firstLine="709"/>
        <w:jc w:val="both"/>
        <w:rPr>
          <w:rFonts w:eastAsia="Calibri"/>
          <w:highlight w:val="white"/>
          <w:lang w:eastAsia="en-US"/>
        </w:rPr>
      </w:pPr>
      <w:r>
        <w:rPr>
          <w:rFonts w:eastAsia="Calibri"/>
          <w:highlight w:val="white"/>
          <w:lang w:eastAsia="en-US"/>
        </w:rPr>
        <w:t xml:space="preserve">Прогноз </w:t>
      </w:r>
      <w:r>
        <w:rPr>
          <w:rFonts w:eastAsia="Calibri"/>
          <w:highlight w:val="white"/>
          <w:lang w:eastAsia="en-US"/>
        </w:rPr>
        <w:t xml:space="preserve">ожидаемых поступлений в 2025 году и </w:t>
      </w:r>
      <w:r>
        <w:rPr>
          <w:rFonts w:eastAsia="Calibri"/>
          <w:highlight w:val="white"/>
          <w:lang w:eastAsia="en-US"/>
        </w:rPr>
        <w:t xml:space="preserve">поступлений на 2026 год </w:t>
      </w:r>
      <w:r>
        <w:rPr>
          <w:rFonts w:eastAsia="Calibri"/>
          <w:highlight w:val="white"/>
          <w:lang w:eastAsia="en-US"/>
        </w:rPr>
        <w:t xml:space="preserve">и плановый период 2027 и 2028 годов</w:t>
      </w:r>
      <w:r>
        <w:rPr>
          <w:rFonts w:eastAsia="Calibri"/>
          <w:highlight w:val="none"/>
          <w:lang w:eastAsia="en-US"/>
        </w:rPr>
        <w:t xml:space="preserve"> </w:t>
      </w:r>
      <w:r>
        <w:rPr>
          <w:rFonts w:eastAsia="Calibri"/>
          <w:highlight w:val="white"/>
          <w:lang w:eastAsia="en-US"/>
        </w:rPr>
        <w:t xml:space="preserve">рассчитан </w:t>
      </w:r>
      <w:r>
        <w:rPr>
          <w:rFonts w:eastAsia="Calibri"/>
          <w:highlight w:val="white"/>
          <w:lang w:eastAsia="en-US"/>
        </w:rPr>
        <w:t xml:space="preserve">исходя из сложившихся итоговых сумм поступлений за 2023 - 2024 годы и ожидаемого поступления доходов по данному виду доходного источника в 2025</w:t>
      </w:r>
      <w:r>
        <w:rPr>
          <w:rFonts w:eastAsia="Calibri"/>
          <w:highlight w:val="white"/>
          <w:lang w:eastAsia="en-US"/>
        </w:rPr>
        <w:t xml:space="preserve"> в виде штрафов за административные нарушения по ст. 19.5 КоАП РФ</w:t>
      </w:r>
      <w:r>
        <w:rPr>
          <w:rFonts w:eastAsia="Calibri"/>
          <w:highlight w:val="none"/>
          <w:lang w:eastAsia="en-US"/>
        </w:rPr>
        <w:t xml:space="preserve">.</w:t>
      </w: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</w:p>
    <w:p>
      <w:pPr>
        <w:ind w:firstLine="709"/>
        <w:jc w:val="both"/>
        <w:rPr>
          <w:rFonts w:eastAsia="Calibri"/>
          <w:highlight w:val="white"/>
          <w:lang w:eastAsia="en-US"/>
        </w:rPr>
      </w:pP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  <w:r>
        <w:rPr>
          <w:rFonts w:eastAsia="Calibri"/>
          <w:highlight w:val="white"/>
          <w:lang w:eastAsia="en-US"/>
        </w:rPr>
      </w:r>
    </w:p>
    <w:p>
      <w:pPr>
        <w:pStyle w:val="867"/>
        <w:contextualSpacing/>
        <w:ind w:left="0"/>
        <w:jc w:val="both"/>
        <w:tabs>
          <w:tab w:val="left" w:pos="568" w:leader="none"/>
          <w:tab w:val="left" w:pos="993" w:leader="none"/>
        </w:tabs>
      </w:pPr>
      <w:r>
        <w:rPr>
          <w:b/>
        </w:rPr>
        <w:tab/>
      </w:r>
      <w:r>
        <w:t xml:space="preserve">8.</w:t>
      </w:r>
      <w:r>
        <w:rPr>
          <w:b/>
        </w:rPr>
        <w:t xml:space="preserve"> 197 1 16 01203 01 0000 140 </w:t>
      </w:r>
      <w:r>
        <w:t xml:space="preserve">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</w:t>
      </w:r>
      <w:r>
        <w:t xml:space="preserve">налагаемые мировыми судьями, комиссиями по делам несовершеннолетних и защите их прав», прогнозируемые к поступлению в расчетном году, рассчитываются по формуле:</w:t>
      </w:r>
      <w:r/>
    </w:p>
    <w:p>
      <w:pPr>
        <w:pStyle w:val="868"/>
        <w:jc w:val="center"/>
        <w:shd w:val="clear" w:color="ffffff" w:fill="ffffff"/>
        <w:rPr>
          <w:rFonts w:ascii="Times New Roman" w:hAnsi="Times New Roman" w:cs="Times New Roman"/>
          <w:position w:val="-11"/>
          <w:sz w:val="24"/>
          <w:szCs w:val="24"/>
          <w:highlight w:val="white"/>
        </w:rPr>
      </w:pPr>
      <w:r>
        <w:rPr>
          <w:rFonts w:ascii="Times New Roman" w:hAnsi="Times New Roman" w:cs="Times New Roman"/>
          <w:position w:val="-11"/>
          <w:sz w:val="24"/>
          <w:szCs w:val="24"/>
          <w:highlight w:val="white"/>
          <w:lang w:val="en-US"/>
        </w:rPr>
        <w:t xml:space="preserve">PR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</w:rPr>
        <w:t xml:space="preserve">=</w:t>
      </w:r>
      <w:r>
        <w:rPr>
          <w:rFonts w:ascii="Times New Roman" w:hAnsi="Times New Roman" w:eastAsia="Cambria Math" w:cs="Times New Roman"/>
          <w:position w:val="-11"/>
          <w:sz w:val="24"/>
          <w:szCs w:val="24"/>
          <w:highlight w:val="white"/>
          <w:lang w:val="en-US"/>
        </w:rPr>
        <w:t xml:space="preserve">Σ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</w:rPr>
        <w:t xml:space="preserve"> 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lang w:val="en-US"/>
        </w:rPr>
        <w:t xml:space="preserve">k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vertAlign w:val="subscript"/>
        </w:rPr>
        <w:t xml:space="preserve">=1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lang w:val="en-US"/>
        </w:rPr>
        <w:t xml:space="preserve">Si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</w:rPr>
        <w:t xml:space="preserve">±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lang w:val="en-US"/>
        </w:rPr>
        <w:t xml:space="preserve">Z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</w:rPr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Сумма поступлений по i-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виду правонарушения рассчитывается по формуле: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jc w:val="center"/>
        <w:shd w:val="clear" w:color="ffffff" w:fill="ffffff"/>
        <w:rPr>
          <w:rFonts w:ascii="Times New Roman" w:hAnsi="Times New Roman" w:cs="Times New Roman"/>
          <w:sz w:val="24"/>
          <w:szCs w:val="24"/>
          <w:highlight w:val="white"/>
        </w:rPr>
      </w:pPr>
      <w:r>
        <w:rPr>
          <w:rFonts w:ascii="Times New Roman" w:hAnsi="Times New Roman" w:cs="Times New Roman"/>
          <w:position w:val="-11"/>
          <w:sz w:val="24"/>
          <w:szCs w:val="24"/>
          <w:highlight w:val="white"/>
          <w:lang w:val="en-US"/>
        </w:rPr>
        <w:t xml:space="preserve">S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</w:rPr>
        <w:t xml:space="preserve">=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lang w:val="en-US"/>
        </w:rPr>
        <w:t xml:space="preserve">R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</w:rPr>
        <w:t xml:space="preserve"> * 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lang w:val="en-US"/>
        </w:rPr>
        <w:t xml:space="preserve">C</w:t>
      </w:r>
      <w:r>
        <w:rPr>
          <w:rFonts w:ascii="Times New Roman" w:hAnsi="Times New Roman" w:cs="Times New Roman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ascii="Times New Roman" w:hAnsi="Times New Roman" w:cs="Times New Roman"/>
          <w:sz w:val="24"/>
          <w:szCs w:val="24"/>
          <w:highlight w:val="white"/>
        </w:rPr>
      </w:r>
      <w:r>
        <w:rPr>
          <w:rFonts w:ascii="Times New Roman" w:hAnsi="Times New Roman" w:cs="Times New Roman"/>
          <w:sz w:val="24"/>
          <w:szCs w:val="24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размер платежа установлен </w:t>
      </w:r>
      <w:hyperlink r:id="rId21" w:tooltip="consultantplus://offline/ref=9E433F43CC9DB438F140DAA7EFB5679D9CA0A9280509F9868BB5DD2AE12E0863CBD09D9DC42386BB4AA87A16614DT1L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КоАП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РФ в виде фиксированного размера - применяется фиксированный размер платежа.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случае если размер платежа установлен </w:t>
      </w:r>
      <w:hyperlink r:id="rId22" w:tooltip="consultantplus://offline/ref=9E433F43CC9DB438F140DAA7EFB5679D9CA0A9280509F9868BB5DD2AE12E0863CBD09D9DC42386BB4AA87A16614DT1L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КоАП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РФ в виде диапазона, то используется средневзвешенный размер платежа.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При расчете прогнозируемых поступлений учитывается среднее арифметическое значение годовых объемов доходов бюджетов бюджетной системы РФ не менее чем за три года или за весь период поступления данного вида доходов в случае, если он не превышает три года.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>
        <w:rPr>
          <w:highlight w:val="white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Описание показателей, используемых для расчетов: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PR - прогнозируемые поступления по доходному источнику, тыс. руб.;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Si</w:t>
      </w:r>
      <w:r>
        <w:t xml:space="preserve"> - сумма поступлений по i-</w:t>
      </w:r>
      <w:r>
        <w:t xml:space="preserve">му</w:t>
      </w:r>
      <w:r>
        <w:t xml:space="preserve"> виду правонарушения, тыс. руб.;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k - количество видов правонарушений;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Z (по согласованию с </w:t>
      </w:r>
      <w:r>
        <w:t xml:space="preserve">МФиНП</w:t>
      </w:r>
      <w:r>
        <w:t xml:space="preserve"> НСО) - корректирующая сумма поступлений (увеличение или уменьшение прогноза поступления доходов), включающая: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руб.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При изменении законодательства РФ об административных правонарушениях в выбранном периоде усреднен</w:t>
      </w:r>
      <w:r>
        <w:t xml:space="preserve">ия, повлекшего значительное (более 50% от годовой суммы поступления доходов) увеличение или уменьшение поступлений по доходному источнику, учитывает фактическое поступление в областной бюджет доходов за истекшие месяцы текущего финансового года, тыс. руб. 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Ri</w:t>
      </w:r>
      <w:r>
        <w:t xml:space="preserve"> - фиксированный размер/ средневзвешенный размер платежа за i-й вид правонарушения, тыс. руб.;</w:t>
      </w:r>
      <w:r/>
    </w:p>
    <w:p>
      <w:pPr>
        <w:ind w:firstLine="709"/>
        <w:jc w:val="both"/>
        <w:tabs>
          <w:tab w:val="left" w:pos="993" w:leader="none"/>
        </w:tabs>
      </w:pPr>
      <w:r>
        <w:t xml:space="preserve">ci</w:t>
      </w:r>
      <w:r>
        <w:t xml:space="preserve"> - количество правонарушений i-</w:t>
      </w:r>
      <w:r>
        <w:t xml:space="preserve">го</w:t>
      </w:r>
      <w:r>
        <w:t xml:space="preserve"> вида</w:t>
      </w:r>
      <w:r/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0 рублей, 2027 год – 0 рублей, 2028 год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bCs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bCs/>
          <w:i/>
          <w:lang w:eastAsia="en-US"/>
        </w:rPr>
      </w:r>
      <w:r>
        <w:rPr>
          <w:rFonts w:eastAsia="Calibri"/>
          <w:bCs/>
          <w:i/>
          <w:lang w:eastAsia="en-US"/>
        </w:rPr>
      </w:r>
    </w:p>
    <w:p>
      <w:pPr>
        <w:ind w:firstLine="709"/>
        <w:jc w:val="both"/>
        <w:rPr>
          <w:rFonts w:eastAsia="Calibri"/>
          <w:highlight w:val="none"/>
        </w:rPr>
      </w:pPr>
      <w:r>
        <w:rPr>
          <w:rFonts w:eastAsia="Calibri"/>
          <w:lang w:eastAsia="en-US"/>
        </w:rPr>
      </w:r>
      <w:r>
        <w:rPr>
          <w:rFonts w:eastAsia="Calibri"/>
          <w:highlight w:val="white"/>
          <w:lang w:eastAsia="en-US"/>
        </w:rPr>
        <w:t xml:space="preserve">Исходя из сложившихся итоговых сумм поступлений за 2023 - 2024 годы и отсутствия поступлений доходов по данному виду доходного источника в истекшем периоде 2025 года, поступления на 2026 год </w:t>
      </w:r>
      <w:r>
        <w:rPr>
          <w:rFonts w:eastAsia="Calibri"/>
          <w:highlight w:val="white"/>
          <w:lang w:eastAsia="en-US"/>
        </w:rPr>
        <w:t xml:space="preserve">и плановый период 2027 и 2028 годов </w:t>
      </w:r>
      <w:r>
        <w:rPr>
          <w:rFonts w:eastAsia="Calibri"/>
          <w:highlight w:val="white"/>
          <w:lang w:eastAsia="en-US"/>
        </w:rPr>
        <w:t xml:space="preserve">не прогнозируются. </w:t>
      </w:r>
      <w:r>
        <w:rPr>
          <w:rFonts w:eastAsia="Calibri"/>
          <w:highlight w:val="none"/>
        </w:rPr>
      </w:r>
      <w:r>
        <w:rPr>
          <w:rFonts w:eastAsia="Calibri"/>
          <w:highlight w:val="none"/>
        </w:rPr>
      </w:r>
    </w:p>
    <w:p>
      <w:pPr>
        <w:ind w:firstLine="709"/>
        <w:jc w:val="both"/>
        <w:rPr>
          <w:rFonts w:eastAsia="Calibri"/>
          <w:highlight w:val="white"/>
        </w:rPr>
      </w:pPr>
      <w:r>
        <w:rPr>
          <w:rFonts w:eastAsia="Calibri"/>
          <w:highlight w:val="none"/>
        </w:rPr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pStyle w:val="867"/>
        <w:contextualSpacing/>
        <w:ind w:left="0"/>
        <w:jc w:val="both"/>
        <w:tabs>
          <w:tab w:val="left" w:pos="568" w:leader="none"/>
          <w:tab w:val="left" w:pos="851" w:leader="none"/>
          <w:tab w:val="left" w:pos="993" w:leader="none"/>
        </w:tabs>
      </w:pPr>
      <w:r>
        <w:rPr>
          <w:b/>
        </w:rPr>
        <w:tab/>
      </w:r>
      <w:r>
        <w:t xml:space="preserve">9.</w:t>
      </w:r>
      <w:r>
        <w:rPr>
          <w:b/>
        </w:rPr>
        <w:t xml:space="preserve"> 197 1 16 07010 02 0000 140</w:t>
      </w:r>
      <w:r>
        <w:t xml:space="preserve"> «Штрафы, неустойки, пени, уплаченные в случае просрочки исполнения поставщиком (подрядчиком, исполнит</w:t>
      </w:r>
      <w:r>
        <w:t xml:space="preserve">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Федерации» прогнозируемые к поступлению в расчетном году, рассчитываются по формуле:</w:t>
      </w:r>
      <w:r/>
    </w:p>
    <w:p>
      <w:pPr>
        <w:jc w:val="center"/>
        <w:shd w:val="clear" w:color="ffffff" w:fill="ffffff"/>
        <w:widowControl w:val="off"/>
        <w:rPr>
          <w:rFonts w:eastAsia="Arial"/>
          <w:position w:val="-11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highlight w:val="white"/>
          <w:lang w:val="en-US"/>
        </w:rPr>
        <w:t xml:space="preserve">PR</w:t>
      </w:r>
      <w:r>
        <w:rPr>
          <w:rFonts w:eastAsia="Arial"/>
          <w:position w:val="-11"/>
          <w:highlight w:val="white"/>
        </w:rPr>
        <w:t xml:space="preserve">=∑</w:t>
      </w:r>
      <w:r>
        <w:rPr>
          <w:rFonts w:eastAsia="Arial"/>
          <w:position w:val="-11"/>
          <w:highlight w:val="white"/>
          <w:lang w:val="en-US"/>
        </w:rPr>
        <w:t xml:space="preserve">n</w:t>
      </w:r>
      <w:r>
        <w:rPr>
          <w:rFonts w:eastAsia="Arial"/>
          <w:position w:val="-11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highlight w:val="white"/>
          <w:vertAlign w:val="subscript"/>
        </w:rPr>
        <w:t xml:space="preserve">=1</w:t>
      </w:r>
      <w:r>
        <w:rPr>
          <w:rFonts w:eastAsia="Arial"/>
          <w:position w:val="-11"/>
          <w:highlight w:val="white"/>
          <w:lang w:val="en-US"/>
        </w:rPr>
        <w:t xml:space="preserve">F</w:t>
      </w:r>
      <w:r>
        <w:rPr>
          <w:rFonts w:eastAsia="Arial"/>
          <w:position w:val="-11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highlight w:val="white"/>
        </w:rPr>
        <w:t xml:space="preserve">/</w:t>
      </w:r>
      <w:r>
        <w:rPr>
          <w:rFonts w:eastAsia="Arial"/>
          <w:position w:val="-11"/>
          <w:highlight w:val="white"/>
          <w:lang w:val="en-US"/>
        </w:rPr>
        <w:t xml:space="preserve">n</w:t>
      </w:r>
      <w:r>
        <w:rPr>
          <w:rFonts w:eastAsia="Arial"/>
          <w:position w:val="-11"/>
          <w:highlight w:val="white"/>
        </w:rPr>
        <w:t xml:space="preserve">±</w:t>
      </w:r>
      <w:r>
        <w:rPr>
          <w:rFonts w:eastAsia="Arial"/>
          <w:position w:val="-11"/>
          <w:highlight w:val="white"/>
          <w:lang w:val="en-US"/>
        </w:rPr>
        <w:t xml:space="preserve">Z</w:t>
      </w:r>
      <w:r>
        <w:rPr>
          <w:rFonts w:eastAsia="Arial"/>
          <w:position w:val="-11"/>
          <w:highlight w:val="white"/>
        </w:rPr>
      </w:r>
      <w:r>
        <w:rPr>
          <w:rFonts w:eastAsia="Arial"/>
          <w:position w:val="-11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При расчете прогнозируемых поступлений учитывается среднее арифметическое значение годовых объемов доходов областного бюджета не менее чем за три года или за весь период поступления данного вида доходов в случае, если он не превышает три года.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pStyle w:val="867"/>
        <w:ind w:left="0" w:firstLine="709"/>
        <w:jc w:val="both"/>
        <w:tabs>
          <w:tab w:val="left" w:pos="993" w:leader="none"/>
        </w:tabs>
        <w:rPr>
          <w:rFonts w:eastAsia="Calibri"/>
          <w:lang w:eastAsia="en-US"/>
        </w:rPr>
      </w:pPr>
      <w:r>
        <w:rPr>
          <w:rFonts w:eastAsia="Calibri"/>
          <w:highlight w:val="white"/>
          <w:lang w:eastAsia="en-US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</w:t>
      </w:r>
      <w:r>
        <w:rPr>
          <w:rFonts w:eastAsia="Calibri"/>
          <w:lang w:eastAsia="en-US"/>
        </w:rPr>
        <w:t xml:space="preserve">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Описание показателей, используемых для расчетов: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PR - прогнозируемые поступления по доходному источнику,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Fi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фактически поступившие в i-м году доходы,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n - фактическое число лет в выбранном периоде усреднения;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Z </w:t>
      </w:r>
      <w:r>
        <w:rPr>
          <w:rFonts w:ascii="Times New Roman" w:hAnsi="Times New Roman" w:cs="Times New Roman"/>
          <w:sz w:val="28"/>
          <w:szCs w:val="28"/>
          <w:highlight w:val="white"/>
          <w:shd w:val="clear" w:color="auto" w:fill="ffffff"/>
        </w:rPr>
        <w:t xml:space="preserve">(по согласованию с МФ и НП НСО)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корректирующая сумма поступлений (увеличение или уменьшение прогноза поступления доходов), включающая: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>
        <w:rPr>
          <w:highlight w:val="white"/>
        </w:rP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руб.</w:t>
      </w:r>
      <w:r/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0 рублей, 2027 год – 0 рублей, 2028 год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bCs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bCs/>
          <w:i/>
          <w:lang w:eastAsia="en-US"/>
        </w:rPr>
      </w:r>
      <w:r>
        <w:rPr>
          <w:rFonts w:eastAsia="Calibri"/>
          <w:bCs/>
          <w:i/>
          <w:lang w:eastAsia="en-US"/>
        </w:rPr>
      </w:r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расчете объема </w:t>
      </w:r>
      <w:r>
        <w:rPr>
          <w:rFonts w:eastAsia="Calibri"/>
          <w:highlight w:val="white"/>
          <w:lang w:eastAsia="en-US"/>
        </w:rPr>
        <w:t xml:space="preserve">ожидаемого поступления доходов по данному виду доходного источника в 2025 году</w:t>
      </w:r>
      <w:r>
        <w:rPr>
          <w:rFonts w:eastAsia="Calibri"/>
          <w:lang w:eastAsia="en-US"/>
        </w:rPr>
        <w:t xml:space="preserve"> и поступлений на 2026 - 2028 годы учитывались факторы, влияющие на сумму прогнозируемых поступлений, а именно практика списания </w:t>
      </w:r>
      <w:r>
        <w:rPr>
          <w:rFonts w:eastAsia="Calibri"/>
          <w:lang w:eastAsia="en-US"/>
        </w:rPr>
        <w:t xml:space="preserve">сумм неустоек (штрафов, пеней) в связи с неисполнением или ненадлежащим исполнением обязательств, предусмотренных контрактом в соответствии с постановлением Правительства РФ от 04.07.2018 № 783 «О списании начисленных поставщику (подрядчику, исполнителю), </w:t>
      </w:r>
      <w:r>
        <w:rPr>
          <w:rFonts w:eastAsia="Calibri"/>
          <w:lang w:eastAsia="en-US"/>
        </w:rPr>
        <w:t xml:space="preserve">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контрактом».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  <w:highlight w:val="white"/>
        </w:rPr>
      </w:pPr>
      <w:r>
        <w:rPr>
          <w:rFonts w:eastAsia="Calibri"/>
          <w:highlight w:val="white"/>
          <w:lang w:eastAsia="en-US"/>
        </w:rPr>
        <w:t xml:space="preserve">Исходя из годовых объемов доходов за 2023, отсутствия поступлений в 2024 и ожидаемого поступления доходов по данному виду доходного источника в 2025 году, прогнозная сумма доходов на 2026 год и </w:t>
      </w:r>
      <w:r>
        <w:rPr>
          <w:rFonts w:eastAsia="Calibri"/>
          <w:highlight w:val="white"/>
          <w:lang w:eastAsia="en-US"/>
        </w:rPr>
        <w:t xml:space="preserve">плановый период 2027 и 2028 годов</w:t>
      </w:r>
      <w:r>
        <w:rPr>
          <w:rFonts w:eastAsia="Calibri"/>
          <w:highlight w:val="none"/>
          <w:lang w:eastAsia="en-US"/>
        </w:rPr>
        <w:t xml:space="preserve"> </w:t>
      </w:r>
      <w:r>
        <w:rPr>
          <w:rFonts w:eastAsia="Calibri"/>
          <w:highlight w:val="white"/>
          <w:lang w:eastAsia="en-US"/>
        </w:rPr>
        <w:t xml:space="preserve">сложилась в сумме </w:t>
      </w:r>
      <w:r>
        <w:rPr>
          <w:rFonts w:eastAsia="Calibri"/>
          <w:lang w:eastAsia="en-US"/>
        </w:rPr>
        <w:t xml:space="preserve">0 рублей</w:t>
      </w:r>
      <w:r>
        <w:rPr>
          <w:rFonts w:eastAsia="Calibri"/>
          <w:highlight w:val="white"/>
          <w:lang w:eastAsia="en-US"/>
        </w:rPr>
        <w:t xml:space="preserve">. 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ind w:firstLine="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67"/>
        <w:contextualSpacing/>
        <w:ind w:left="0"/>
        <w:jc w:val="both"/>
        <w:tabs>
          <w:tab w:val="left" w:pos="568" w:leader="none"/>
          <w:tab w:val="left" w:pos="710" w:leader="none"/>
          <w:tab w:val="left" w:pos="1134" w:leader="none"/>
        </w:tabs>
      </w:pPr>
      <w:r>
        <w:rPr>
          <w:b/>
        </w:rPr>
        <w:tab/>
      </w:r>
      <w:r>
        <w:t xml:space="preserve">10.</w:t>
      </w:r>
      <w:r>
        <w:rPr>
          <w:b/>
        </w:rPr>
        <w:t xml:space="preserve"> 16 07090 02 0000 140</w:t>
      </w:r>
      <w:r>
        <w:t xml:space="preserve"> «Иные штрафы, неустойки, пени, уплаченные в соответствии с законом или дого</w:t>
      </w:r>
      <w:r>
        <w:t xml:space="preserve">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Федерации» прогнозируемые к поступлению в расчетном году, рассчитываются по формуле:</w:t>
      </w:r>
      <w:r/>
    </w:p>
    <w:p>
      <w:pPr>
        <w:jc w:val="center"/>
        <w:shd w:val="clear" w:color="ffffff" w:fill="ffffff"/>
        <w:widowControl w:val="off"/>
        <w:rPr>
          <w:rFonts w:eastAsia="Arial"/>
          <w:position w:val="-11"/>
          <w:sz w:val="24"/>
          <w:szCs w:val="24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PR</w:t>
      </w:r>
      <w:r>
        <w:rPr>
          <w:rFonts w:eastAsia="Arial"/>
          <w:position w:val="-11"/>
          <w:sz w:val="24"/>
          <w:szCs w:val="24"/>
          <w:highlight w:val="white"/>
        </w:rPr>
        <w:t xml:space="preserve">=∑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n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  <w:vertAlign w:val="subscript"/>
        </w:rPr>
        <w:t xml:space="preserve">=1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F</w:t>
      </w:r>
      <w:r>
        <w:rPr>
          <w:rFonts w:eastAsia="Arial"/>
          <w:position w:val="-11"/>
          <w:sz w:val="24"/>
          <w:szCs w:val="24"/>
          <w:highlight w:val="white"/>
          <w:vertAlign w:val="subscript"/>
          <w:lang w:val="en-US"/>
        </w:rPr>
        <w:t xml:space="preserve">i</w:t>
      </w:r>
      <w:r>
        <w:rPr>
          <w:rFonts w:eastAsia="Arial"/>
          <w:position w:val="-11"/>
          <w:sz w:val="24"/>
          <w:szCs w:val="24"/>
          <w:highlight w:val="white"/>
        </w:rPr>
        <w:t xml:space="preserve">/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n</w:t>
      </w:r>
      <w:r>
        <w:rPr>
          <w:rFonts w:eastAsia="Arial"/>
          <w:position w:val="-11"/>
          <w:sz w:val="24"/>
          <w:szCs w:val="24"/>
          <w:highlight w:val="white"/>
        </w:rPr>
        <w:t xml:space="preserve">±</w:t>
      </w:r>
      <w:r>
        <w:rPr>
          <w:rFonts w:eastAsia="Arial"/>
          <w:position w:val="-11"/>
          <w:sz w:val="24"/>
          <w:szCs w:val="24"/>
          <w:highlight w:val="white"/>
          <w:lang w:val="en-US"/>
        </w:rPr>
        <w:t xml:space="preserve">Z</w:t>
      </w:r>
      <w:r>
        <w:rPr>
          <w:rFonts w:eastAsia="Arial"/>
          <w:position w:val="-11"/>
          <w:sz w:val="24"/>
          <w:szCs w:val="24"/>
          <w:highlight w:val="white"/>
        </w:rPr>
      </w:r>
      <w:r>
        <w:rPr>
          <w:rFonts w:eastAsia="Arial"/>
          <w:position w:val="-11"/>
          <w:sz w:val="24"/>
          <w:szCs w:val="24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При расчете прогнозируемых поступлений учитывается среднее арифметическое значение годовых объемов доходов областного бюджета не менее чем за три года или за весь период поступления данного вида доходов в случае, если он не превышает три года.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>
        <w:rPr>
          <w:rFonts w:eastAsia="Calibri"/>
          <w:highlight w:val="white"/>
          <w:lang w:eastAsia="en-US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года, а также оценки поступлений доходов до конца года</w:t>
      </w:r>
      <w:r>
        <w:rPr>
          <w:rFonts w:eastAsia="Calibri"/>
          <w:lang w:eastAsia="en-US"/>
        </w:rPr>
        <w:t xml:space="preserve">.</w:t>
      </w:r>
      <w:r/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Описание показателей, используемых для расчетов: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PR - прогнозируемые поступления по доходному источнику,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Fi</w:t>
      </w:r>
      <w:r>
        <w:rPr>
          <w:rFonts w:eastAsia="Arial"/>
          <w:highlight w:val="white"/>
        </w:rPr>
        <w:t xml:space="preserve"> - фактически поступившие в i-м году доходы,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n - фактическое число лет в выбранном периоде усреднения;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Z </w:t>
      </w:r>
      <w:r>
        <w:rPr>
          <w:rFonts w:eastAsia="Arial"/>
          <w:highlight w:val="white"/>
          <w:shd w:val="clear" w:color="auto" w:fill="ffffff"/>
        </w:rPr>
        <w:t xml:space="preserve">(по согласованию с </w:t>
      </w:r>
      <w:r>
        <w:rPr>
          <w:rFonts w:eastAsia="Arial"/>
          <w:highlight w:val="white"/>
          <w:shd w:val="clear" w:color="auto" w:fill="ffffff"/>
        </w:rPr>
        <w:t xml:space="preserve">МФиНП</w:t>
      </w:r>
      <w:r>
        <w:rPr>
          <w:rFonts w:eastAsia="Arial"/>
          <w:highlight w:val="white"/>
          <w:shd w:val="clear" w:color="auto" w:fill="ffffff"/>
        </w:rPr>
        <w:t xml:space="preserve"> НСО)</w:t>
      </w:r>
      <w:r>
        <w:rPr>
          <w:rFonts w:eastAsia="Arial"/>
          <w:highlight w:val="white"/>
        </w:rPr>
        <w:t xml:space="preserve"> - корректирующая сумма поступлений (увеличение или уменьшение прогноза поступления доходов), включающая: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- разовые факторы (при наличии) - единовременные суммы поступлений, возникшие в течение определенного года, влияющие на сумму прогнозируемых поступлений,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ind w:firstLine="709"/>
        <w:jc w:val="both"/>
        <w:shd w:val="clear" w:color="ffffff" w:fill="ffffff"/>
        <w:widowControl w:val="off"/>
        <w:rPr>
          <w:rFonts w:eastAsia="Arial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between w:val="none" w:color="000000" w:sz="4" w:space="0"/>
        </w:pBdr>
      </w:pPr>
      <w:r>
        <w:rPr>
          <w:rFonts w:eastAsia="Arial"/>
          <w:highlight w:val="white"/>
        </w:rPr>
        <w:t xml:space="preserve">- при формировании оценки поступлений доходов на текущий финансовый год учитывает фактическое поступление в областной бюджет доходов за истекшие месяцы текущего финансового года, тыс. руб.;</w:t>
      </w:r>
      <w:r>
        <w:rPr>
          <w:rFonts w:eastAsia="Arial"/>
          <w:highlight w:val="white"/>
        </w:rPr>
      </w:r>
      <w:r>
        <w:rPr>
          <w:rFonts w:eastAsia="Arial"/>
          <w:highlight w:val="white"/>
        </w:rPr>
      </w:r>
    </w:p>
    <w:p>
      <w:pPr>
        <w:pStyle w:val="867"/>
        <w:ind w:left="0" w:firstLine="709"/>
        <w:jc w:val="both"/>
        <w:tabs>
          <w:tab w:val="left" w:pos="993" w:leader="none"/>
        </w:tabs>
        <w:rPr>
          <w:rFonts w:eastAsia="Calibri"/>
          <w:lang w:eastAsia="en-US"/>
        </w:rPr>
      </w:pPr>
      <w:r>
        <w:rPr>
          <w:rFonts w:eastAsia="Calibri"/>
          <w:highlight w:val="white"/>
          <w:lang w:eastAsia="en-US"/>
        </w:rPr>
        <w:t xml:space="preserve">- оценку ожидаемых результатов работы по взысканию дебиторской задолженности по доходам, получаемой на основании данных о планирующемся зачислении (при наличии), тыс. руб.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75 700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86 400 рублей, 2027 год – 86 400 рублей, 2028 год –86 400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i/>
          <w:lang w:eastAsia="en-US"/>
        </w:rPr>
      </w:r>
      <w:r>
        <w:rPr>
          <w:rFonts w:eastAsia="Calibri"/>
          <w:i/>
          <w:lang w:eastAsia="en-US"/>
        </w:rPr>
      </w:r>
    </w:p>
    <w:p>
      <w:pPr>
        <w:pStyle w:val="867"/>
        <w:ind w:left="0" w:firstLine="709"/>
        <w:jc w:val="both"/>
        <w:tabs>
          <w:tab w:val="left" w:pos="993" w:leader="none"/>
        </w:tabs>
        <w:rPr>
          <w:color w:val="000000" w:themeColor="text1"/>
          <w:highlight w:val="white"/>
        </w:rPr>
      </w:pPr>
      <w:r>
        <w:rPr>
          <w:szCs w:val="23"/>
        </w:rPr>
        <w:t xml:space="preserve">Поступлен</w:t>
      </w:r>
      <w:r>
        <w:rPr>
          <w:szCs w:val="23"/>
        </w:rPr>
        <w:t xml:space="preserve">ия по данному коду сложно прогнозируются, ввиду невозможности заранее запланировать объемы поступлений от денежных взысканий по контрактам, уплаченные в случае неисполнения или ненадлежащего исполнения поставщиком (подрядчиком, исполнителем) обязательств.</w:t>
      </w:r>
      <w:r>
        <w:rPr>
          <w:color w:val="000000" w:themeColor="text1"/>
          <w:szCs w:val="23"/>
          <w:highlight w:val="white"/>
        </w:rPr>
        <w:t xml:space="preserve"> </w:t>
      </w:r>
      <w:r>
        <w:rPr>
          <w:color w:val="000000" w:themeColor="text1"/>
          <w:szCs w:val="23"/>
          <w:highlight w:val="white"/>
        </w:rPr>
        <w:t xml:space="preserve">Ожидаемое поступление доходов в 2024 году рассчитано </w:t>
      </w:r>
      <w:r>
        <w:rPr>
          <w:rFonts w:eastAsia="Calibri"/>
          <w:color w:val="000000" w:themeColor="text1"/>
          <w:highlight w:val="white"/>
          <w:lang w:eastAsia="en-US"/>
        </w:rPr>
        <w:t xml:space="preserve">с учетом </w:t>
      </w:r>
      <w:r>
        <w:rPr>
          <w:rFonts w:eastAsia="Calibri"/>
          <w:color w:val="000000" w:themeColor="text1"/>
          <w:highlight w:val="white"/>
          <w:lang w:eastAsia="en-US"/>
        </w:rPr>
        <w:t xml:space="preserve">неустойки по контрактам</w:t>
      </w:r>
      <w:r>
        <w:rPr>
          <w:rFonts w:eastAsia="Calibri"/>
          <w:color w:val="000000" w:themeColor="text1"/>
          <w:highlight w:val="white"/>
          <w:lang w:eastAsia="en-US"/>
        </w:rPr>
        <w:t xml:space="preserve"> в текущем году и оценки поступлений доходов </w:t>
      </w:r>
      <w:r>
        <w:rPr>
          <w:rFonts w:eastAsia="Calibri"/>
          <w:color w:val="000000" w:themeColor="text1"/>
          <w:highlight w:val="white"/>
          <w:lang w:eastAsia="en-US"/>
        </w:rPr>
        <w:t xml:space="preserve">в виде неустойки </w:t>
      </w:r>
      <w:r>
        <w:rPr>
          <w:rFonts w:eastAsia="Calibri"/>
          <w:color w:val="000000" w:themeColor="text1"/>
          <w:highlight w:val="white"/>
          <w:lang w:eastAsia="en-US"/>
        </w:rPr>
        <w:t xml:space="preserve">до конца года.</w:t>
      </w:r>
      <w:r>
        <w:rPr>
          <w:color w:val="000000" w:themeColor="text1"/>
          <w:highlight w:val="white"/>
        </w:rPr>
      </w:r>
      <w:r>
        <w:rPr>
          <w:color w:val="000000" w:themeColor="text1"/>
          <w:highlight w:val="white"/>
        </w:rPr>
      </w:r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При расчете объема поступлений на 2025 - 2027 годы учитывались факторы, влияющие на сумму прогнозируемых поступлений, а именно практика списания </w:t>
      </w:r>
      <w:r>
        <w:rPr>
          <w:rFonts w:eastAsia="Calibri"/>
          <w:lang w:eastAsia="en-US"/>
        </w:rPr>
        <w:t xml:space="preserve">сумм неустоек (штрафов, пеней) в связи с неисполнением или ненадлежащим исполнением обязательств, предусмотренных контрактом в соответствии с постановлением Правительства РФ от 04.07.2018 № 783 «О списании начисленных поставщику (подрядчику, исполнителю), </w:t>
      </w:r>
      <w:r>
        <w:rPr>
          <w:rFonts w:eastAsia="Calibri"/>
          <w:lang w:eastAsia="en-US"/>
        </w:rPr>
        <w:t xml:space="preserve">но не списанных заказчиком сумм неустоек (штрафов, пеней) в связи с неисполнением или ненадлежащим исполнением обязательств, предусмотренных контрактом», в связи с чем применен корректирующий коэффициент (-0,75) к </w:t>
      </w:r>
      <w:r>
        <w:t xml:space="preserve">с</w:t>
      </w:r>
      <w:r>
        <w:rPr>
          <w:highlight w:val="white"/>
        </w:rPr>
        <w:t xml:space="preserve">реднему арифметическому значению годовых объемов доходов</w:t>
      </w:r>
      <w:r>
        <w:rPr>
          <w:rFonts w:eastAsia="Calibri"/>
          <w:lang w:eastAsia="en-US"/>
        </w:rPr>
        <w:t xml:space="preserve"> за 3 года.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  <w:highlight w:val="white"/>
        </w:rPr>
      </w:pPr>
      <w:r>
        <w:rPr>
          <w:rFonts w:eastAsia="Calibri"/>
          <w:highlight w:val="white"/>
          <w:lang w:eastAsia="en-US"/>
        </w:rPr>
        <w:t xml:space="preserve">Исходя из годовых объемов доходов за 2023 - 2024 годы и ожидаемого поступления доходов по данному виду доходного источника в 2025 году, прогнозная сумма доходов на 2026 год с учетом округления </w:t>
      </w:r>
      <w:r>
        <w:rPr>
          <w:rFonts w:eastAsia="Calibri"/>
          <w:highlight w:val="white"/>
          <w:lang w:eastAsia="en-US"/>
        </w:rPr>
        <w:t xml:space="preserve">сложилась</w:t>
      </w:r>
      <w:r>
        <w:rPr>
          <w:rFonts w:eastAsia="Calibri"/>
          <w:highlight w:val="white"/>
          <w:lang w:eastAsia="en-US"/>
        </w:rPr>
        <w:t xml:space="preserve"> </w:t>
      </w:r>
      <w:r>
        <w:rPr>
          <w:rFonts w:eastAsia="Calibri"/>
          <w:highlight w:val="white"/>
          <w:lang w:eastAsia="en-US"/>
        </w:rPr>
        <w:t xml:space="preserve">в сумме</w:t>
      </w:r>
      <w:r>
        <w:rPr>
          <w:rFonts w:eastAsia="Calibri"/>
          <w:lang w:eastAsia="en-US"/>
        </w:rPr>
        <w:t xml:space="preserve"> 86 400 рублей</w:t>
      </w:r>
      <w:r>
        <w:rPr>
          <w:rFonts w:eastAsia="Calibri"/>
          <w:highlight w:val="white"/>
          <w:lang w:eastAsia="en-US"/>
        </w:rPr>
        <w:t xml:space="preserve">. 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(280 470 +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681 094 + 75 700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)/3</w:t>
      </w:r>
      <w:r>
        <w:rPr>
          <w:rFonts w:eastAsia="Calibri"/>
          <w:sz w:val="28"/>
          <w:szCs w:val="28"/>
          <w:highlight w:val="white"/>
          <w:lang w:eastAsia="en-US"/>
        </w:rPr>
        <w:t xml:space="preserve"> =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345 755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 *0,75 = </w:t>
      </w:r>
      <w:r>
        <w:rPr>
          <w:rFonts w:ascii="Times New Roman" w:hAnsi="Times New Roman" w:eastAsia="Times New Roman" w:cs="Times New Roman"/>
          <w:b w:val="0"/>
          <w:i w:val="0"/>
          <w:strike w:val="0"/>
          <w:color w:val="000000"/>
          <w:sz w:val="28"/>
          <w:szCs w:val="28"/>
          <w:u w:val="none"/>
          <w:vertAlign w:val="baseline"/>
        </w:rPr>
        <w:t xml:space="preserve">259 315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en-US"/>
        </w:rPr>
        <w:t xml:space="preserve"> 3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en-US"/>
        </w:rPr>
        <w:t xml:space="preserve">45 755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- 259 315 = 86 440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850"/>
        <w:jc w:val="both"/>
        <w:rPr>
          <w:rFonts w:eastAsia="Calibri"/>
          <w:lang w:eastAsia="en-US"/>
        </w:rPr>
      </w:pPr>
      <w:r>
        <w:rPr>
          <w:rFonts w:eastAsia="Calibri"/>
          <w:highlight w:val="white"/>
          <w:lang w:eastAsia="en-US"/>
        </w:rPr>
        <w:t xml:space="preserve">Прогноз поступления доходов на плановый период 2027 и 2028 годов рассчитан исходя из прогнозируемого поступления доходов в 2026 году.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85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67"/>
        <w:contextualSpacing/>
        <w:ind w:left="0"/>
        <w:jc w:val="both"/>
        <w:tabs>
          <w:tab w:val="left" w:pos="568" w:leader="none"/>
          <w:tab w:val="left" w:pos="1134" w:leader="none"/>
        </w:tabs>
      </w:pPr>
      <w:r>
        <w:rPr>
          <w:b/>
        </w:rPr>
        <w:tab/>
      </w:r>
      <w:r>
        <w:t xml:space="preserve">13.</w:t>
      </w:r>
      <w:r>
        <w:rPr>
          <w:b/>
        </w:rPr>
        <w:t xml:space="preserve"> 197 1 16 10122 01 0000 140</w:t>
      </w:r>
      <w:r>
        <w:t xml:space="preserve"> «Доходы от денежных взысканий (штрафов), </w:t>
      </w:r>
      <w:r>
        <w:t xml:space="preserve">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 году» для расчета прогнозных показателей поступлений применяется иной способ.</w:t>
      </w:r>
      <w:r/>
    </w:p>
    <w:p>
      <w:pPr>
        <w:pStyle w:val="868"/>
        <w:ind w:firstLine="709"/>
        <w:jc w:val="both"/>
        <w:shd w:val="clear" w:color="ffffff" w:fill="ffffff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 прогнозировании поступлений доходов учитываются ожидаемые результаты работы по взысканию дебиторской задолженности, образовавшейся до 1 января 2020 года.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>
        <w:rPr>
          <w:highlight w:val="white"/>
        </w:rPr>
        <w:t xml:space="preserve">При формировании уточненного прогноза доходов на текущий финансовый год прогнозирование осуществляется с учетом фактического поступления доходов за истекший период текущего года</w:t>
      </w:r>
      <w:r/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Ожидаемое поступление в 2025 году – 240 000,00 рублей.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Прогноз поступления доходов: 2026 год – </w:t>
      </w:r>
      <w:r>
        <w:rPr>
          <w:rFonts w:eastAsia="Calibri"/>
          <w:lang w:eastAsia="en-US"/>
        </w:rPr>
        <w:t xml:space="preserve">59 679,43</w:t>
      </w:r>
      <w:r>
        <w:rPr>
          <w:rFonts w:eastAsia="Calibri"/>
          <w:lang w:eastAsia="en-US"/>
        </w:rPr>
        <w:t xml:space="preserve"> рублей, 2027 год – 0 рублей, 2028 год – 0 рублей.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i/>
          <w:lang w:eastAsia="en-US"/>
        </w:rPr>
      </w:r>
      <w:r>
        <w:rPr>
          <w:rFonts w:eastAsia="Calibri"/>
          <w:i/>
          <w:lang w:eastAsia="en-US"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>
        <w:t xml:space="preserve">Поступление по данному коду в 2024 году и в последующих годах планируется в соответствии с графиком возврата денежных средств областного бюджета Новосибирской области, использованных не по целевому назначению и выявленных при проведении </w:t>
      </w:r>
      <w:r>
        <w:rPr>
          <w:szCs w:val="23"/>
        </w:rPr>
        <w:t xml:space="preserve">контрольных мероприятий контрольным управлением Новосибирской области</w:t>
      </w:r>
      <w:r>
        <w:t xml:space="preserve">.</w:t>
      </w:r>
      <w:r/>
    </w:p>
    <w:p>
      <w:pPr>
        <w:pStyle w:val="867"/>
        <w:ind w:left="0" w:firstLine="709"/>
        <w:jc w:val="both"/>
        <w:tabs>
          <w:tab w:val="left" w:pos="993" w:leader="none"/>
        </w:tabs>
      </w:pPr>
      <w:r/>
      <w:r/>
    </w:p>
    <w:p>
      <w:pPr>
        <w:pStyle w:val="867"/>
        <w:contextualSpacing/>
        <w:ind w:left="0"/>
        <w:jc w:val="both"/>
        <w:tabs>
          <w:tab w:val="left" w:pos="568" w:leader="none"/>
          <w:tab w:val="left" w:pos="710" w:leader="none"/>
          <w:tab w:val="left" w:pos="851" w:leader="none"/>
          <w:tab w:val="left" w:pos="1134" w:leader="none"/>
        </w:tabs>
      </w:pPr>
      <w:r>
        <w:rPr>
          <w:b/>
        </w:rPr>
        <w:tab/>
      </w:r>
      <w:r>
        <w:t xml:space="preserve">14.</w:t>
      </w:r>
      <w:r>
        <w:rPr>
          <w:b/>
        </w:rPr>
        <w:t xml:space="preserve"> 197 117 01020 02 0000 180 </w:t>
      </w:r>
      <w:r>
        <w:t xml:space="preserve">«Невыясненные поступления, зачисляемые в бюджеты субъектов РФ» для расчета прогнозных показателей поступлений, применяется иной способ </w:t>
      </w:r>
      <w:r>
        <w:rPr>
          <w:rFonts w:eastAsia="Calibri"/>
          <w:highlight w:val="white"/>
          <w:lang w:eastAsia="en-US"/>
        </w:rPr>
        <w:t xml:space="preserve">прогнозируются на нулевом уровне</w:t>
      </w:r>
      <w:r>
        <w:t xml:space="preserve">.</w:t>
      </w:r>
      <w:r/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0 рублей, 2027 год – 0 рублей, 2028 год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i/>
          <w:lang w:eastAsia="en-US"/>
        </w:rPr>
      </w:r>
      <w:r>
        <w:rPr>
          <w:rFonts w:eastAsia="Calibri"/>
          <w:i/>
          <w:lang w:eastAsia="en-US"/>
        </w:rPr>
      </w:r>
    </w:p>
    <w:p>
      <w:pPr>
        <w:ind w:firstLine="709"/>
        <w:jc w:val="both"/>
        <w:tabs>
          <w:tab w:val="left" w:pos="851" w:leader="none"/>
          <w:tab w:val="left" w:pos="1134" w:leader="none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</w:t>
      </w:r>
      <w:r>
        <w:rPr>
          <w:rFonts w:eastAsia="Calibri"/>
          <w:highlight w:val="white"/>
          <w:lang w:eastAsia="en-US"/>
        </w:rPr>
        <w:t xml:space="preserve">оступлени</w:t>
      </w:r>
      <w:r>
        <w:rPr>
          <w:rFonts w:eastAsia="Calibri"/>
          <w:highlight w:val="white"/>
          <w:lang w:eastAsia="en-US"/>
        </w:rPr>
        <w:t xml:space="preserve">я по данному коду бюджетной классификации РФ зависят от количества расчетных документов, некорректно оформленных плательщиками, которые могут быть уточнены иными администраторами доходов по кодам доходов бюджетов, которые их администрируют и прогнозируют. 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67"/>
        <w:contextualSpacing/>
        <w:ind w:left="0"/>
        <w:jc w:val="both"/>
        <w:tabs>
          <w:tab w:val="left" w:pos="568" w:leader="none"/>
          <w:tab w:val="left" w:pos="710" w:leader="none"/>
          <w:tab w:val="left" w:pos="851" w:leader="none"/>
          <w:tab w:val="left" w:pos="1134" w:leader="none"/>
        </w:tabs>
        <w:rPr>
          <w:rFonts w:eastAsia="Calibri"/>
          <w:lang w:eastAsia="en-US"/>
        </w:rPr>
      </w:pPr>
      <w:r>
        <w:rPr>
          <w:b/>
        </w:rPr>
        <w:tab/>
      </w:r>
      <w:r>
        <w:t xml:space="preserve">16. </w:t>
      </w:r>
      <w:r>
        <w:rPr>
          <w:b/>
        </w:rPr>
        <w:t xml:space="preserve">197 117 16000 02 0000 180 </w:t>
      </w:r>
      <w:r>
        <w:t xml:space="preserve">«Прочие неналоговые доходы бюджетов субъектов РФ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РФ» </w:t>
      </w:r>
      <w:r>
        <w:rPr>
          <w:rFonts w:eastAsia="Calibri"/>
          <w:highlight w:val="white"/>
          <w:lang w:eastAsia="en-US"/>
        </w:rPr>
        <w:t xml:space="preserve">прогнозируются на нулевом уровне</w:t>
      </w:r>
      <w:r>
        <w:t xml:space="preserve">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Ожидаемое поступление в 2025 году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</w:rPr>
      </w:pPr>
      <w:r>
        <w:rPr>
          <w:rFonts w:eastAsia="Calibri"/>
          <w:lang w:eastAsia="en-US"/>
        </w:rPr>
        <w:t xml:space="preserve">Прогноз поступления доходов: 2026 год – 0 рублей, 2027 год – 0 рублей, 2028 год – 0 рублей.</w:t>
      </w:r>
      <w:r>
        <w:rPr>
          <w:rFonts w:eastAsia="Calibri"/>
        </w:rPr>
      </w:r>
      <w:r>
        <w:rPr>
          <w:rFonts w:eastAsia="Calibri"/>
        </w:rPr>
      </w:r>
    </w:p>
    <w:p>
      <w:pPr>
        <w:ind w:firstLine="709"/>
        <w:jc w:val="both"/>
        <w:rPr>
          <w:rFonts w:eastAsia="Calibri"/>
          <w:i/>
          <w:lang w:eastAsia="en-US"/>
        </w:rPr>
      </w:pPr>
      <w:r>
        <w:rPr>
          <w:rFonts w:eastAsia="Calibri"/>
          <w:i/>
          <w:lang w:eastAsia="en-US"/>
        </w:rPr>
        <w:t xml:space="preserve">Пояснения к расчетам:</w:t>
      </w:r>
      <w:r>
        <w:rPr>
          <w:rFonts w:eastAsia="Calibri"/>
          <w:i/>
          <w:lang w:eastAsia="en-US"/>
        </w:rPr>
      </w:r>
      <w:r>
        <w:rPr>
          <w:rFonts w:eastAsia="Calibri"/>
          <w:i/>
          <w:lang w:eastAsia="en-US"/>
        </w:rPr>
      </w:r>
    </w:p>
    <w:p>
      <w:pPr>
        <w:pStyle w:val="867"/>
        <w:ind w:left="0" w:firstLine="709"/>
        <w:jc w:val="both"/>
        <w:tabs>
          <w:tab w:val="left" w:pos="993" w:leader="none"/>
        </w:tabs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Поступления по данному коду</w:t>
      </w:r>
      <w:r>
        <w:rPr>
          <w:rFonts w:eastAsia="Calibri"/>
          <w:lang w:eastAsia="en-US"/>
        </w:rPr>
        <w:t xml:space="preserve"> доходов зависят от сумм невыясненных поступлений, зачисляемых в областной бюджет, по которым не осуществлен возврат (уточнение) по истечении трех лет со дня их зачисления на единый счет областного бюджета. Оценка поступления текущего года определяется на </w:t>
      </w:r>
      <w:r>
        <w:rPr>
          <w:rFonts w:eastAsia="Calibri"/>
          <w:lang w:eastAsia="en-US"/>
        </w:rPr>
        <w:t xml:space="preserve">уровне сумм кассового поступления по данному коду доходов. Поступления по да</w:t>
      </w:r>
      <w:r>
        <w:rPr>
          <w:rFonts w:eastAsia="Calibri"/>
          <w:lang w:eastAsia="en-US"/>
        </w:rPr>
        <w:t xml:space="preserve">нному коду доходов на плановый период прогнозируются на нулевом уровне, т.к. в плановом периоде по данному коду будут учитываться суммы возвратов прочих неналоговых доходов областного бюджета, учтенных территориальными органами Федерального казначейства в </w:t>
      </w:r>
      <w:r>
        <w:rPr>
          <w:rFonts w:eastAsia="Calibri"/>
          <w:lang w:eastAsia="en-US"/>
        </w:rPr>
        <w:t xml:space="preserve">соответствующем году, образованных за счет невыясненных поступлений, зачисленных в областной  бюджет, по которым не осуществлен возврат (уточнение) по истечении трех лет со дня их зачисления на единый счет областного бюджета, на основании судебных решений.</w:t>
      </w:r>
      <w:r>
        <w:rPr>
          <w:rFonts w:eastAsia="Calibri"/>
          <w:lang w:eastAsia="en-US"/>
        </w:rPr>
      </w:r>
      <w:r>
        <w:rPr>
          <w:rFonts w:eastAsia="Calibri"/>
          <w:lang w:eastAsia="en-US"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/>
      <w:bookmarkStart w:id="0" w:name="_GoBack"/>
      <w:r/>
      <w:bookmarkEnd w:id="0"/>
      <w:r/>
      <w:r/>
    </w:p>
    <w:p>
      <w:pPr>
        <w:pStyle w:val="867"/>
        <w:contextualSpacing/>
        <w:ind w:left="0" w:firstLine="709"/>
        <w:jc w:val="both"/>
        <w:tabs>
          <w:tab w:val="left" w:pos="207" w:leader="none"/>
          <w:tab w:val="left" w:pos="710" w:leader="none"/>
          <w:tab w:val="left" w:pos="851" w:leader="none"/>
          <w:tab w:val="left" w:pos="1134" w:leader="none"/>
        </w:tabs>
        <w:rPr>
          <w:b/>
          <w:bCs/>
        </w:rPr>
      </w:pPr>
      <w:r>
        <w:rPr>
          <w:b/>
        </w:rPr>
        <w:t xml:space="preserve">Поступления по администрируемым источникам доходов (п. 7, 11, 12, 14, 15, 16): </w:t>
      </w:r>
      <w:r>
        <w:rPr>
          <w:b/>
          <w:bCs/>
        </w:rPr>
      </w:r>
      <w:r>
        <w:rPr>
          <w:b/>
          <w:bCs/>
        </w:rPr>
      </w:r>
    </w:p>
    <w:p>
      <w:pPr>
        <w:pStyle w:val="867"/>
        <w:contextualSpacing/>
        <w:ind w:left="0" w:firstLine="709"/>
        <w:jc w:val="both"/>
        <w:tabs>
          <w:tab w:val="left" w:pos="207" w:leader="none"/>
          <w:tab w:val="left" w:pos="710" w:leader="none"/>
          <w:tab w:val="left" w:pos="851" w:leader="none"/>
          <w:tab w:val="left" w:pos="1134" w:leader="none"/>
        </w:tabs>
      </w:pPr>
      <w:r>
        <w:rPr>
          <w:b/>
        </w:rPr>
        <w:t xml:space="preserve">197 1 16 01193 01 0000 140 </w:t>
      </w:r>
      <w:r>
        <w:t xml:space="preserve">«Админис</w:t>
      </w:r>
      <w:r>
        <w:t xml:space="preserve">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прав»;</w:t>
      </w:r>
      <w:r/>
    </w:p>
    <w:p>
      <w:pPr>
        <w:pStyle w:val="867"/>
        <w:contextualSpacing/>
        <w:ind w:left="0" w:firstLine="709"/>
        <w:jc w:val="both"/>
        <w:tabs>
          <w:tab w:val="left" w:pos="207" w:leader="none"/>
          <w:tab w:val="left" w:pos="710" w:leader="none"/>
          <w:tab w:val="left" w:pos="851" w:leader="none"/>
          <w:tab w:val="left" w:pos="1134" w:leader="none"/>
        </w:tabs>
      </w:pPr>
      <w:r>
        <w:rPr>
          <w:b/>
        </w:rPr>
        <w:t xml:space="preserve">197 1 16 10056 02 0000 140 </w:t>
      </w:r>
      <w:r>
        <w:t xml:space="preserve">«Платежи в целях возмещения убытков, причиненных уклонением от заключения с го</w:t>
      </w:r>
      <w:r>
        <w:t xml:space="preserve">сударственным органом субъекта Российской Федерации (казенным учреждением субъекта Российской Федерации) государственного контракта (за исключением государственного контракта, финансируемого за счет средств дорожного фонда субъекта Российской Федерации)»; </w:t>
      </w:r>
      <w:r/>
    </w:p>
    <w:p>
      <w:pPr>
        <w:pStyle w:val="867"/>
        <w:contextualSpacing/>
        <w:ind w:left="0" w:firstLine="709"/>
        <w:jc w:val="both"/>
        <w:tabs>
          <w:tab w:val="left" w:pos="207" w:leader="none"/>
          <w:tab w:val="left" w:pos="710" w:leader="none"/>
          <w:tab w:val="left" w:pos="851" w:leader="none"/>
          <w:tab w:val="left" w:pos="1134" w:leader="none"/>
        </w:tabs>
        <w:rPr>
          <w:strike/>
        </w:rPr>
      </w:pPr>
      <w:r>
        <w:rPr>
          <w:b/>
        </w:rPr>
        <w:t xml:space="preserve">197 1 16 10076 02 0000 140 </w:t>
      </w:r>
      <w:r>
        <w:t xml:space="preserve">«Платежи в целях возмещения ущерба при расторжении государственного контракта, заключенног</w:t>
      </w:r>
      <w:r>
        <w:t xml:space="preserve">о с государственным органом субъекта РФ (казенным учреждением субъекта РФ),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РФ)»;</w:t>
      </w:r>
      <w:r>
        <w:rPr>
          <w:strike/>
        </w:rPr>
      </w:r>
      <w:r>
        <w:rPr>
          <w:strike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>
        <w:rPr>
          <w:b/>
        </w:rPr>
        <w:t xml:space="preserve">197 117 05020 02 0000 180 </w:t>
      </w:r>
      <w:r>
        <w:t xml:space="preserve">«Прочие неналоговые доходы бюджетов субъектов РФ»</w:t>
      </w:r>
      <w:r/>
    </w:p>
    <w:p>
      <w:pPr>
        <w:pStyle w:val="867"/>
        <w:ind w:left="0" w:firstLine="709"/>
        <w:jc w:val="both"/>
        <w:tabs>
          <w:tab w:val="left" w:pos="993" w:leader="none"/>
        </w:tabs>
        <w:rPr>
          <w:highlight w:val="none"/>
        </w:rPr>
      </w:pPr>
      <w:r>
        <w:t xml:space="preserve">не планируются на 2026 - 2028 годы ввиду отсутствия поступлений по данным доходным источникам в 2023 - 2024 годах и истекшем периоде 2025 года.</w:t>
      </w:r>
      <w:r>
        <w:rPr>
          <w:highlight w:val="none"/>
        </w:rPr>
      </w:r>
      <w:r>
        <w:rPr>
          <w:highlight w:val="none"/>
        </w:rPr>
      </w:r>
    </w:p>
    <w:p>
      <w:pPr>
        <w:pStyle w:val="867"/>
        <w:ind w:left="0" w:firstLine="709"/>
        <w:jc w:val="both"/>
        <w:tabs>
          <w:tab w:val="left" w:pos="993" w:leader="none"/>
        </w:tabs>
      </w:pPr>
      <w:r/>
      <w:r/>
    </w:p>
    <w:p>
      <w:pPr>
        <w:pStyle w:val="867"/>
        <w:ind w:left="0" w:firstLine="709"/>
        <w:jc w:val="center"/>
        <w:tabs>
          <w:tab w:val="left" w:pos="993" w:leader="none"/>
        </w:tabs>
      </w:pPr>
      <w:r>
        <w:rPr>
          <w:highlight w:val="none"/>
        </w:rPr>
        <w:t xml:space="preserve">____________</w:t>
      </w:r>
      <w:r>
        <w:rPr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1134" w:right="567" w:bottom="964" w:left="1417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124579424"/>
      <w:docPartObj>
        <w:docPartGallery w:val="Page Numbers (Top of Page)"/>
        <w:docPartUnique w:val="true"/>
      </w:docPartObj>
      <w:rPr>
        <w:sz w:val="20"/>
        <w:szCs w:val="20"/>
      </w:rPr>
    </w:sdtPr>
    <w:sdtContent>
      <w:p>
        <w:pPr>
          <w:pStyle w:val="863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 xml:space="preserve">PAGE   \* MERGEFORMAT</w:instrText>
        </w:r>
        <w:r>
          <w:rPr>
            <w:sz w:val="20"/>
            <w:szCs w:val="20"/>
          </w:rPr>
          <w:fldChar w:fldCharType="separate"/>
        </w:r>
        <w:r>
          <w:rPr>
            <w:sz w:val="20"/>
            <w:szCs w:val="20"/>
          </w:rPr>
          <w:t xml:space="preserve">16</w:t>
        </w:r>
        <w:r>
          <w:rPr>
            <w:sz w:val="20"/>
            <w:szCs w:val="20"/>
          </w:rPr>
          <w:fldChar w:fldCharType="end"/>
        </w:r>
        <w:r>
          <w:rPr>
            <w:sz w:val="20"/>
            <w:szCs w:val="20"/>
          </w:rPr>
        </w:r>
        <w:r>
          <w:rPr>
            <w:sz w:val="20"/>
            <w:szCs w:val="20"/>
          </w:rPr>
        </w:r>
      </w:p>
    </w:sdtContent>
  </w:sdt>
  <w:p>
    <w:pPr>
      <w:pStyle w:val="86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trike w:val="0"/>
        <w:color w:val="auto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29" w:hanging="360"/>
      </w:pPr>
      <w:rPr>
        <w:rFonts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4">
    <w:name w:val="Heading 1"/>
    <w:basedOn w:val="859"/>
    <w:next w:val="859"/>
    <w:link w:val="68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5">
    <w:name w:val="Heading 1 Char"/>
    <w:basedOn w:val="860"/>
    <w:link w:val="684"/>
    <w:uiPriority w:val="9"/>
    <w:rPr>
      <w:rFonts w:ascii="Arial" w:hAnsi="Arial" w:eastAsia="Arial" w:cs="Arial"/>
      <w:sz w:val="40"/>
      <w:szCs w:val="40"/>
    </w:rPr>
  </w:style>
  <w:style w:type="paragraph" w:styleId="686">
    <w:name w:val="Heading 2"/>
    <w:basedOn w:val="859"/>
    <w:next w:val="859"/>
    <w:link w:val="68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7">
    <w:name w:val="Heading 2 Char"/>
    <w:basedOn w:val="860"/>
    <w:link w:val="686"/>
    <w:uiPriority w:val="9"/>
    <w:rPr>
      <w:rFonts w:ascii="Arial" w:hAnsi="Arial" w:eastAsia="Arial" w:cs="Arial"/>
      <w:sz w:val="34"/>
    </w:rPr>
  </w:style>
  <w:style w:type="paragraph" w:styleId="688">
    <w:name w:val="Heading 3"/>
    <w:basedOn w:val="859"/>
    <w:next w:val="859"/>
    <w:link w:val="68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9">
    <w:name w:val="Heading 3 Char"/>
    <w:basedOn w:val="860"/>
    <w:link w:val="688"/>
    <w:uiPriority w:val="9"/>
    <w:rPr>
      <w:rFonts w:ascii="Arial" w:hAnsi="Arial" w:eastAsia="Arial" w:cs="Arial"/>
      <w:sz w:val="30"/>
      <w:szCs w:val="30"/>
    </w:rPr>
  </w:style>
  <w:style w:type="paragraph" w:styleId="690">
    <w:name w:val="Heading 4"/>
    <w:basedOn w:val="859"/>
    <w:next w:val="859"/>
    <w:link w:val="69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91">
    <w:name w:val="Heading 4 Char"/>
    <w:basedOn w:val="860"/>
    <w:link w:val="690"/>
    <w:uiPriority w:val="9"/>
    <w:rPr>
      <w:rFonts w:ascii="Arial" w:hAnsi="Arial" w:eastAsia="Arial" w:cs="Arial"/>
      <w:b/>
      <w:bCs/>
      <w:sz w:val="26"/>
      <w:szCs w:val="26"/>
    </w:rPr>
  </w:style>
  <w:style w:type="paragraph" w:styleId="692">
    <w:name w:val="Heading 5"/>
    <w:basedOn w:val="859"/>
    <w:next w:val="859"/>
    <w:link w:val="69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3">
    <w:name w:val="Heading 5 Char"/>
    <w:basedOn w:val="860"/>
    <w:link w:val="692"/>
    <w:uiPriority w:val="9"/>
    <w:rPr>
      <w:rFonts w:ascii="Arial" w:hAnsi="Arial" w:eastAsia="Arial" w:cs="Arial"/>
      <w:b/>
      <w:bCs/>
      <w:sz w:val="24"/>
      <w:szCs w:val="24"/>
    </w:rPr>
  </w:style>
  <w:style w:type="paragraph" w:styleId="694">
    <w:name w:val="Heading 6"/>
    <w:basedOn w:val="859"/>
    <w:next w:val="859"/>
    <w:link w:val="69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5">
    <w:name w:val="Heading 6 Char"/>
    <w:basedOn w:val="860"/>
    <w:link w:val="694"/>
    <w:uiPriority w:val="9"/>
    <w:rPr>
      <w:rFonts w:ascii="Arial" w:hAnsi="Arial" w:eastAsia="Arial" w:cs="Arial"/>
      <w:b/>
      <w:bCs/>
      <w:sz w:val="22"/>
      <w:szCs w:val="22"/>
    </w:rPr>
  </w:style>
  <w:style w:type="paragraph" w:styleId="696">
    <w:name w:val="Heading 7"/>
    <w:basedOn w:val="859"/>
    <w:next w:val="859"/>
    <w:link w:val="69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7">
    <w:name w:val="Heading 7 Char"/>
    <w:basedOn w:val="86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8">
    <w:name w:val="Heading 8"/>
    <w:basedOn w:val="859"/>
    <w:next w:val="859"/>
    <w:link w:val="69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9">
    <w:name w:val="Heading 8 Char"/>
    <w:basedOn w:val="860"/>
    <w:link w:val="698"/>
    <w:uiPriority w:val="9"/>
    <w:rPr>
      <w:rFonts w:ascii="Arial" w:hAnsi="Arial" w:eastAsia="Arial" w:cs="Arial"/>
      <w:i/>
      <w:iCs/>
      <w:sz w:val="22"/>
      <w:szCs w:val="22"/>
    </w:rPr>
  </w:style>
  <w:style w:type="paragraph" w:styleId="700">
    <w:name w:val="Heading 9"/>
    <w:basedOn w:val="859"/>
    <w:next w:val="859"/>
    <w:link w:val="70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01">
    <w:name w:val="Heading 9 Char"/>
    <w:basedOn w:val="860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02">
    <w:name w:val="No Spacing"/>
    <w:uiPriority w:val="1"/>
    <w:qFormat/>
    <w:pPr>
      <w:spacing w:before="0" w:after="0" w:line="240" w:lineRule="auto"/>
    </w:pPr>
  </w:style>
  <w:style w:type="paragraph" w:styleId="703">
    <w:name w:val="Title"/>
    <w:basedOn w:val="859"/>
    <w:next w:val="859"/>
    <w:link w:val="70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4">
    <w:name w:val="Title Char"/>
    <w:basedOn w:val="860"/>
    <w:link w:val="703"/>
    <w:uiPriority w:val="10"/>
    <w:rPr>
      <w:sz w:val="48"/>
      <w:szCs w:val="48"/>
    </w:rPr>
  </w:style>
  <w:style w:type="paragraph" w:styleId="705">
    <w:name w:val="Subtitle"/>
    <w:basedOn w:val="859"/>
    <w:next w:val="859"/>
    <w:link w:val="706"/>
    <w:uiPriority w:val="11"/>
    <w:qFormat/>
    <w:pPr>
      <w:spacing w:before="200" w:after="200"/>
    </w:pPr>
    <w:rPr>
      <w:sz w:val="24"/>
      <w:szCs w:val="24"/>
    </w:rPr>
  </w:style>
  <w:style w:type="character" w:styleId="706">
    <w:name w:val="Subtitle Char"/>
    <w:basedOn w:val="860"/>
    <w:link w:val="705"/>
    <w:uiPriority w:val="11"/>
    <w:rPr>
      <w:sz w:val="24"/>
      <w:szCs w:val="24"/>
    </w:rPr>
  </w:style>
  <w:style w:type="paragraph" w:styleId="707">
    <w:name w:val="Quote"/>
    <w:basedOn w:val="859"/>
    <w:next w:val="859"/>
    <w:link w:val="708"/>
    <w:uiPriority w:val="29"/>
    <w:qFormat/>
    <w:pPr>
      <w:ind w:left="720" w:right="720"/>
    </w:pPr>
    <w:rPr>
      <w:i/>
    </w:rPr>
  </w:style>
  <w:style w:type="character" w:styleId="708">
    <w:name w:val="Quote Char"/>
    <w:link w:val="707"/>
    <w:uiPriority w:val="29"/>
    <w:rPr>
      <w:i/>
    </w:rPr>
  </w:style>
  <w:style w:type="paragraph" w:styleId="709">
    <w:name w:val="Intense Quote"/>
    <w:basedOn w:val="859"/>
    <w:next w:val="859"/>
    <w:link w:val="71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0">
    <w:name w:val="Intense Quote Char"/>
    <w:link w:val="709"/>
    <w:uiPriority w:val="30"/>
    <w:rPr>
      <w:i/>
    </w:rPr>
  </w:style>
  <w:style w:type="character" w:styleId="711">
    <w:name w:val="Header Char"/>
    <w:basedOn w:val="860"/>
    <w:link w:val="863"/>
    <w:uiPriority w:val="99"/>
  </w:style>
  <w:style w:type="character" w:styleId="712">
    <w:name w:val="Footer Char"/>
    <w:basedOn w:val="860"/>
    <w:link w:val="865"/>
    <w:uiPriority w:val="99"/>
  </w:style>
  <w:style w:type="paragraph" w:styleId="713">
    <w:name w:val="Caption"/>
    <w:basedOn w:val="859"/>
    <w:next w:val="85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4">
    <w:name w:val="Caption Char"/>
    <w:basedOn w:val="713"/>
    <w:link w:val="865"/>
    <w:uiPriority w:val="99"/>
  </w:style>
  <w:style w:type="table" w:styleId="715">
    <w:name w:val="Table Grid"/>
    <w:basedOn w:val="86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6">
    <w:name w:val="Table Grid Light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7">
    <w:name w:val="Plain Table 1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8">
    <w:name w:val="Plain Table 2"/>
    <w:basedOn w:val="86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9">
    <w:name w:val="Plain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0">
    <w:name w:val="Plain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Plain Table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2">
    <w:name w:val="Grid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>
    <w:name w:val="Grid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8">
    <w:name w:val="Grid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>
    <w:name w:val="Grid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4">
    <w:name w:val="Grid Table 4 - Accent 1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5">
    <w:name w:val="Grid Table 4 - Accent 2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6">
    <w:name w:val="Grid Table 4 - Accent 3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7">
    <w:name w:val="Grid Table 4 - Accent 4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8">
    <w:name w:val="Grid Table 4 - Accent 5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9">
    <w:name w:val="Grid Table 4 - Accent 6"/>
    <w:basedOn w:val="86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50">
    <w:name w:val="Grid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54">
    <w:name w:val="Grid Table 5 Dark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55">
    <w:name w:val="Grid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56">
    <w:name w:val="Grid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57">
    <w:name w:val="Grid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8">
    <w:name w:val="Grid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9">
    <w:name w:val="Grid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60">
    <w:name w:val="Grid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61">
    <w:name w:val="Grid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62">
    <w:name w:val="Grid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3">
    <w:name w:val="Grid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4">
    <w:name w:val="Grid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1 Light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List Table 1 Light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List Table 1 Light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List Table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9">
    <w:name w:val="List Table 2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80">
    <w:name w:val="List Table 2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81">
    <w:name w:val="List Table 2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82">
    <w:name w:val="List Table 2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3">
    <w:name w:val="List Table 2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4">
    <w:name w:val="List Table 2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5">
    <w:name w:val="List Table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3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3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3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4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>
    <w:name w:val="List Table 4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>
    <w:name w:val="List Table 4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5 Dark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5 Dark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4">
    <w:name w:val="List Table 5 Dark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5">
    <w:name w:val="List Table 5 Dark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6">
    <w:name w:val="List Table 6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7">
    <w:name w:val="List Table 6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8">
    <w:name w:val="List Table 6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9">
    <w:name w:val="List Table 6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10">
    <w:name w:val="List Table 6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11">
    <w:name w:val="List Table 6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12">
    <w:name w:val="List Table 6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3">
    <w:name w:val="List Table 7 Colorful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4">
    <w:name w:val="List Table 7 Colorful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15">
    <w:name w:val="List Table 7 Colorful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16">
    <w:name w:val="List Table 7 Colorful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17">
    <w:name w:val="List Table 7 Colorful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18">
    <w:name w:val="List Table 7 Colorful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19">
    <w:name w:val="List Table 7 Colorful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20">
    <w:name w:val="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2">
    <w:name w:val="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3">
    <w:name w:val="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4">
    <w:name w:val="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5">
    <w:name w:val="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6">
    <w:name w:val="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7">
    <w:name w:val="Bordered &amp; Lined - Accent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8">
    <w:name w:val="Bordered &amp; Lined - Accent 1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29">
    <w:name w:val="Bordered &amp; Lined - Accent 2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30">
    <w:name w:val="Bordered &amp; Lined - Accent 3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31">
    <w:name w:val="Bordered &amp; Lined - Accent 4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32">
    <w:name w:val="Bordered &amp; Lined - Accent 5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33">
    <w:name w:val="Bordered &amp; Lined - Accent 6"/>
    <w:basedOn w:val="86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34">
    <w:name w:val="Bordered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5">
    <w:name w:val="Bordered - Accent 1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6">
    <w:name w:val="Bordered - Accent 2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7">
    <w:name w:val="Bordered - Accent 3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8">
    <w:name w:val="Bordered - Accent 4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9">
    <w:name w:val="Bordered - Accent 5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40">
    <w:name w:val="Bordered - Accent 6"/>
    <w:basedOn w:val="86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41">
    <w:name w:val="Hyperlink"/>
    <w:uiPriority w:val="99"/>
    <w:unhideWhenUsed/>
    <w:rPr>
      <w:color w:val="0000ff" w:themeColor="hyperlink"/>
      <w:u w:val="single"/>
    </w:rPr>
  </w:style>
  <w:style w:type="paragraph" w:styleId="842">
    <w:name w:val="footnote text"/>
    <w:basedOn w:val="859"/>
    <w:link w:val="843"/>
    <w:uiPriority w:val="99"/>
    <w:semiHidden/>
    <w:unhideWhenUsed/>
    <w:pPr>
      <w:spacing w:after="40" w:line="240" w:lineRule="auto"/>
    </w:pPr>
    <w:rPr>
      <w:sz w:val="18"/>
    </w:rPr>
  </w:style>
  <w:style w:type="character" w:styleId="843">
    <w:name w:val="Footnote Text Char"/>
    <w:link w:val="842"/>
    <w:uiPriority w:val="99"/>
    <w:rPr>
      <w:sz w:val="18"/>
    </w:rPr>
  </w:style>
  <w:style w:type="character" w:styleId="844">
    <w:name w:val="footnote reference"/>
    <w:basedOn w:val="860"/>
    <w:uiPriority w:val="99"/>
    <w:unhideWhenUsed/>
    <w:rPr>
      <w:vertAlign w:val="superscript"/>
    </w:rPr>
  </w:style>
  <w:style w:type="paragraph" w:styleId="845">
    <w:name w:val="endnote text"/>
    <w:basedOn w:val="859"/>
    <w:link w:val="846"/>
    <w:uiPriority w:val="99"/>
    <w:semiHidden/>
    <w:unhideWhenUsed/>
    <w:pPr>
      <w:spacing w:after="0" w:line="240" w:lineRule="auto"/>
    </w:pPr>
    <w:rPr>
      <w:sz w:val="20"/>
    </w:rPr>
  </w:style>
  <w:style w:type="character" w:styleId="846">
    <w:name w:val="Endnote Text Char"/>
    <w:link w:val="845"/>
    <w:uiPriority w:val="99"/>
    <w:rPr>
      <w:sz w:val="20"/>
    </w:rPr>
  </w:style>
  <w:style w:type="character" w:styleId="847">
    <w:name w:val="endnote reference"/>
    <w:basedOn w:val="860"/>
    <w:uiPriority w:val="99"/>
    <w:semiHidden/>
    <w:unhideWhenUsed/>
    <w:rPr>
      <w:vertAlign w:val="superscript"/>
    </w:rPr>
  </w:style>
  <w:style w:type="paragraph" w:styleId="848">
    <w:name w:val="toc 1"/>
    <w:basedOn w:val="859"/>
    <w:next w:val="859"/>
    <w:uiPriority w:val="39"/>
    <w:unhideWhenUsed/>
    <w:pPr>
      <w:ind w:left="0" w:right="0" w:firstLine="0"/>
      <w:spacing w:after="57"/>
    </w:pPr>
  </w:style>
  <w:style w:type="paragraph" w:styleId="849">
    <w:name w:val="toc 2"/>
    <w:basedOn w:val="859"/>
    <w:next w:val="859"/>
    <w:uiPriority w:val="39"/>
    <w:unhideWhenUsed/>
    <w:pPr>
      <w:ind w:left="283" w:right="0" w:firstLine="0"/>
      <w:spacing w:after="57"/>
    </w:pPr>
  </w:style>
  <w:style w:type="paragraph" w:styleId="850">
    <w:name w:val="toc 3"/>
    <w:basedOn w:val="859"/>
    <w:next w:val="859"/>
    <w:uiPriority w:val="39"/>
    <w:unhideWhenUsed/>
    <w:pPr>
      <w:ind w:left="567" w:right="0" w:firstLine="0"/>
      <w:spacing w:after="57"/>
    </w:pPr>
  </w:style>
  <w:style w:type="paragraph" w:styleId="851">
    <w:name w:val="toc 4"/>
    <w:basedOn w:val="859"/>
    <w:next w:val="859"/>
    <w:uiPriority w:val="39"/>
    <w:unhideWhenUsed/>
    <w:pPr>
      <w:ind w:left="850" w:right="0" w:firstLine="0"/>
      <w:spacing w:after="57"/>
    </w:pPr>
  </w:style>
  <w:style w:type="paragraph" w:styleId="852">
    <w:name w:val="toc 5"/>
    <w:basedOn w:val="859"/>
    <w:next w:val="859"/>
    <w:uiPriority w:val="39"/>
    <w:unhideWhenUsed/>
    <w:pPr>
      <w:ind w:left="1134" w:right="0" w:firstLine="0"/>
      <w:spacing w:after="57"/>
    </w:pPr>
  </w:style>
  <w:style w:type="paragraph" w:styleId="853">
    <w:name w:val="toc 6"/>
    <w:basedOn w:val="859"/>
    <w:next w:val="859"/>
    <w:uiPriority w:val="39"/>
    <w:unhideWhenUsed/>
    <w:pPr>
      <w:ind w:left="1417" w:right="0" w:firstLine="0"/>
      <w:spacing w:after="57"/>
    </w:pPr>
  </w:style>
  <w:style w:type="paragraph" w:styleId="854">
    <w:name w:val="toc 7"/>
    <w:basedOn w:val="859"/>
    <w:next w:val="859"/>
    <w:uiPriority w:val="39"/>
    <w:unhideWhenUsed/>
    <w:pPr>
      <w:ind w:left="1701" w:right="0" w:firstLine="0"/>
      <w:spacing w:after="57"/>
    </w:pPr>
  </w:style>
  <w:style w:type="paragraph" w:styleId="855">
    <w:name w:val="toc 8"/>
    <w:basedOn w:val="859"/>
    <w:next w:val="859"/>
    <w:uiPriority w:val="39"/>
    <w:unhideWhenUsed/>
    <w:pPr>
      <w:ind w:left="1984" w:right="0" w:firstLine="0"/>
      <w:spacing w:after="57"/>
    </w:pPr>
  </w:style>
  <w:style w:type="paragraph" w:styleId="856">
    <w:name w:val="toc 9"/>
    <w:basedOn w:val="859"/>
    <w:next w:val="859"/>
    <w:uiPriority w:val="39"/>
    <w:unhideWhenUsed/>
    <w:pPr>
      <w:ind w:left="2268" w:right="0" w:firstLine="0"/>
      <w:spacing w:after="57"/>
    </w:pPr>
  </w:style>
  <w:style w:type="paragraph" w:styleId="857">
    <w:name w:val="TOC Heading"/>
    <w:uiPriority w:val="39"/>
    <w:unhideWhenUsed/>
  </w:style>
  <w:style w:type="paragraph" w:styleId="858">
    <w:name w:val="table of figures"/>
    <w:basedOn w:val="859"/>
    <w:next w:val="859"/>
    <w:uiPriority w:val="99"/>
    <w:unhideWhenUsed/>
    <w:pPr>
      <w:spacing w:after="0" w:afterAutospacing="0"/>
    </w:pPr>
  </w:style>
  <w:style w:type="paragraph" w:styleId="859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60" w:default="1">
    <w:name w:val="Default Paragraph Font"/>
    <w:uiPriority w:val="1"/>
    <w:semiHidden/>
    <w:unhideWhenUsed/>
  </w:style>
  <w:style w:type="table" w:styleId="86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62" w:default="1">
    <w:name w:val="No List"/>
    <w:uiPriority w:val="99"/>
    <w:semiHidden/>
    <w:unhideWhenUsed/>
  </w:style>
  <w:style w:type="paragraph" w:styleId="863">
    <w:name w:val="Header"/>
    <w:basedOn w:val="859"/>
    <w:link w:val="864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4" w:customStyle="1">
    <w:name w:val="Верхний колонтитул Знак"/>
    <w:basedOn w:val="860"/>
    <w:link w:val="863"/>
    <w:uiPriority w:val="99"/>
  </w:style>
  <w:style w:type="paragraph" w:styleId="865">
    <w:name w:val="Footer"/>
    <w:basedOn w:val="859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Нижний колонтитул Знак"/>
    <w:basedOn w:val="860"/>
    <w:link w:val="865"/>
    <w:uiPriority w:val="99"/>
  </w:style>
  <w:style w:type="paragraph" w:styleId="867">
    <w:name w:val="List Paragraph"/>
    <w:basedOn w:val="859"/>
    <w:uiPriority w:val="34"/>
    <w:qFormat/>
    <w:pPr>
      <w:ind w:left="708"/>
    </w:pPr>
  </w:style>
  <w:style w:type="paragraph" w:styleId="868" w:customStyle="1">
    <w:name w:val="ConsPlusNormal"/>
    <w:pPr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Arial" w:cs="Calibri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yperlink" Target="consultantplus://offline/ref=9E433F43CC9DB438F140DAA7EFB5679D9CA0A9280509F9868BB5DD2AE12E0863CBD09D9DC42386BB4AA87A16614DT1L" TargetMode="External"/><Relationship Id="rId11" Type="http://schemas.openxmlformats.org/officeDocument/2006/relationships/hyperlink" Target="consultantplus://offline/ref=9E433F43CC9DB438F140DAA7EFB5679D9CA0A9280509F9868BB5DD2AE12E0863CBD09D9DC42386BB4AA87A16614DT1L" TargetMode="External"/><Relationship Id="rId12" Type="http://schemas.openxmlformats.org/officeDocument/2006/relationships/hyperlink" Target="consultantplus://offline/ref=9E433F43CC9DB438F140DAA7EFB5679D9CA0A9280509F9868BB5DD2AE12E0863CBD09D9DC42386BB4AA87A16614DT1L" TargetMode="External"/><Relationship Id="rId13" Type="http://schemas.openxmlformats.org/officeDocument/2006/relationships/hyperlink" Target="consultantplus://offline/ref=9E433F43CC9DB438F140DAA7EFB5679D9CA0A9280509F9868BB5DD2AE12E0863CBD09D9DC42386BB4AA87A16614DT1L" TargetMode="External"/><Relationship Id="rId14" Type="http://schemas.openxmlformats.org/officeDocument/2006/relationships/hyperlink" Target="consultantplus://offline/ref=9E433F43CC9DB438F140DAA7EFB5679D9CA0A9280509F9868BB5DD2AE12E0863CBD09D9DC42386BB4AA87A16614DT1L" TargetMode="External"/><Relationship Id="rId15" Type="http://schemas.openxmlformats.org/officeDocument/2006/relationships/hyperlink" Target="consultantplus://offline/ref=9E433F43CC9DB438F140DAA7EFB5679D9CA0A9280509F9868BB5DD2AE12E0863CBD09D9DC42386BB4AA87A16614DT1L" TargetMode="External"/><Relationship Id="rId16" Type="http://schemas.openxmlformats.org/officeDocument/2006/relationships/hyperlink" Target="consultantplus://offline/ref=9E433F43CC9DB438F140DAA7EFB5679D9CA0A9280509F9868BB5DD2AE12E0863D9D0C594C7289BB019E73C436ED27A97B8B1DDD99D2340T0L" TargetMode="External"/><Relationship Id="rId17" Type="http://schemas.openxmlformats.org/officeDocument/2006/relationships/hyperlink" Target="consultantplus://offline/ref=9E433F43CC9DB438F140DAA7EFB5679D9CA0A9280509F9868BB5DD2AE12E0863D9D0C592C32090B019E73C436ED27A97B8B1DDD99D2340T0L" TargetMode="External"/><Relationship Id="rId18" Type="http://schemas.openxmlformats.org/officeDocument/2006/relationships/hyperlink" Target="consultantplus://offline/ref=9E433F43CC9DB438F140DAA7EFB5679D9CA0A9280509F9868BB5DD2AE12E0863CBD09D9DC42386BB4AA87A16614DT1L" TargetMode="External"/><Relationship Id="rId19" Type="http://schemas.openxmlformats.org/officeDocument/2006/relationships/hyperlink" Target="consultantplus://offline/ref=9E433F43CC9DB438F140DAA7EFB5679D9CA0A9280509F9868BB5DD2AE12E0863CBD09D9DC42386BB4AA87A16614DT1L" TargetMode="External"/><Relationship Id="rId20" Type="http://schemas.openxmlformats.org/officeDocument/2006/relationships/hyperlink" Target="consultantplus://offline/ref=9E433F43CC9DB438F140DAA7EFB5679D9CA0A9280509F9868BB5DD2AE12E0863CBD09D9DC42386BB4AA87A16614DT1L" TargetMode="External"/><Relationship Id="rId21" Type="http://schemas.openxmlformats.org/officeDocument/2006/relationships/hyperlink" Target="consultantplus://offline/ref=9E433F43CC9DB438F140DAA7EFB5679D9CA0A9280509F9868BB5DD2AE12E0863CBD09D9DC42386BB4AA87A16614DT1L" TargetMode="External"/><Relationship Id="rId22" Type="http://schemas.openxmlformats.org/officeDocument/2006/relationships/hyperlink" Target="consultantplus://offline/ref=9E433F43CC9DB438F140DAA7EFB5679D9CA0A9280509F9868BB5DD2AE12E0863CBD09D9DC42386BB4AA87A16614DT1L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PNO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Гордеева Татьяна Владимировна</dc:creator>
  <cp:keywords/>
  <dc:description/>
  <cp:revision>10</cp:revision>
  <dcterms:created xsi:type="dcterms:W3CDTF">2024-06-21T09:42:00Z</dcterms:created>
  <dcterms:modified xsi:type="dcterms:W3CDTF">2025-06-20T03:31:28Z</dcterms:modified>
</cp:coreProperties>
</file>